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FINAL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· Tarea · 42% de la nota (corte 3)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(https://cdigital.cun.edu.co/course/view.php?id=130378)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(Art. 41: nota única del periodo) ·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 · ventanas del </w:t>
      </w:r>
      <w:r>
        <w:rPr>
          <w:rFonts w:ascii="Calibri" w:hAnsi="Calibri"/>
          <w:b/>
          <w:color w:val="2B2B2B"/>
          <w:sz w:val="22"/>
        </w:rPr>
        <w:t>cronograma oficial de Coordinación (AFI)</w:t>
      </w:r>
      <w:r>
        <w:rPr>
          <w:rFonts w:ascii="Calibri" w:hAnsi="Calibri"/>
          <w:b w:val="0"/>
          <w:color w:val="2B2B2B"/>
          <w:sz w:val="22"/>
        </w:rPr>
        <w:t xml:space="preserve"> · Manual del Docente / Instructivo Proyecto 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08 de noviembre de 2026</w:t>
      </w:r>
      <w:r>
        <w:rPr>
          <w:rFonts w:ascii="Calibri" w:hAnsi="Calibri"/>
          <w:b w:val="0"/>
          <w:color w:val="2B2B2B"/>
          <w:sz w:val="22"/>
        </w:rPr>
        <w:t xml:space="preserve"> (dom · fecha de cierre institucional; el día de clase del curso es lun).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12/10/2026 – cierre 08/11/2026 · </w:t>
      </w:r>
      <w:r>
        <w:rPr>
          <w:rFonts w:ascii="Calibri" w:hAnsi="Calibri"/>
          <w:b/>
          <w:color w:val="2B2B2B"/>
          <w:sz w:val="22"/>
        </w:rPr>
        <w:t>42%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FINAL — Anteproyecto integrado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42%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50%, repartido entre 3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entrega de cierre</w:t>
      </w:r>
      <w:r>
        <w:rPr>
          <w:rFonts w:ascii="Calibri" w:hAnsi="Calibri"/>
          <w:b w:val="0"/>
          <w:color w:val="2B2B2B"/>
          <w:sz w:val="22"/>
        </w:rPr>
        <w:t xml:space="preserve"> del curso: el anteproyecto completo, no un fragmento. Junto con la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(4%) y la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(4%) cierra el corte 3.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Integrar el </w:t>
      </w:r>
      <w:r>
        <w:rPr>
          <w:rFonts w:ascii="Calibri" w:hAnsi="Calibri"/>
          <w:b/>
          <w:color w:val="2B2B2B"/>
          <w:sz w:val="22"/>
        </w:rPr>
        <w:t>anteproyecto completo</w:t>
      </w:r>
      <w:r>
        <w:rPr>
          <w:rFonts w:ascii="Calibri" w:hAnsi="Calibri"/>
          <w:b w:val="0"/>
          <w:color w:val="2B2B2B"/>
          <w:sz w:val="22"/>
        </w:rPr>
        <w:t xml:space="preserve"> (ESP329 U5–U7): metodología </w:t>
      </w:r>
      <w:r>
        <w:rPr>
          <w:rFonts w:ascii="Calibri" w:hAnsi="Calibri"/>
          <w:b/>
          <w:color w:val="2B2B2B"/>
          <w:sz w:val="22"/>
        </w:rPr>
        <w:t>diseñada</w:t>
      </w:r>
      <w:r>
        <w:rPr>
          <w:rFonts w:ascii="Calibri" w:hAnsi="Calibri"/>
          <w:b w:val="0"/>
          <w:color w:val="2B2B2B"/>
          <w:sz w:val="22"/>
        </w:rPr>
        <w:t xml:space="preserve"> (no aplicada), planeación/viabilidad e integración coherente del documento. Producto de cierre de Proyecto I y base para Proyecto II.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Incorpora </w:t>
      </w:r>
      <w:r>
        <w:rPr>
          <w:rFonts w:ascii="Calibri" w:hAnsi="Calibri"/>
          <w:b/>
          <w:color w:val="2B2B2B"/>
          <w:sz w:val="22"/>
        </w:rPr>
        <w:t>todas</w:t>
      </w:r>
      <w:r>
        <w:rPr>
          <w:rFonts w:ascii="Calibri" w:hAnsi="Calibri"/>
          <w:b w:val="0"/>
          <w:color w:val="2B2B2B"/>
          <w:sz w:val="22"/>
        </w:rPr>
        <w:t xml:space="preserve"> las correcciones de la </w:t>
      </w:r>
      <w:r>
        <w:rPr>
          <w:rFonts w:ascii="Calibri" w:hAnsi="Calibri"/>
          <w:b/>
          <w:color w:val="2B2B2B"/>
          <w:sz w:val="22"/>
        </w:rPr>
        <w:t>ACA 1</w:t>
      </w:r>
      <w:r>
        <w:rPr>
          <w:rFonts w:ascii="Calibri" w:hAnsi="Calibri"/>
          <w:b w:val="0"/>
          <w:color w:val="2B2B2B"/>
          <w:sz w:val="22"/>
        </w:rPr>
        <w:t xml:space="preserve"> (trazabilidad visible en el documento).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Completa la </w:t>
      </w:r>
      <w:r>
        <w:rPr>
          <w:rFonts w:ascii="Calibri" w:hAnsi="Calibri"/>
          <w:b/>
          <w:color w:val="2B2B2B"/>
          <w:sz w:val="22"/>
        </w:rPr>
        <w:t>metodología</w:t>
      </w:r>
      <w:r>
        <w:rPr>
          <w:rFonts w:ascii="Calibri" w:hAnsi="Calibri"/>
          <w:b w:val="0"/>
          <w:color w:val="2B2B2B"/>
          <w:sz w:val="22"/>
        </w:rPr>
        <w:t xml:space="preserve">: paradigma/enfoque, tipo y alcance, diseño, población/muestra o unidades de análisis, variables/categorías, técnicas e </w:t>
      </w:r>
      <w:r>
        <w:rPr>
          <w:rFonts w:ascii="Calibri" w:hAnsi="Calibri"/>
          <w:b/>
          <w:color w:val="2B2B2B"/>
          <w:sz w:val="22"/>
        </w:rPr>
        <w:t>instrumentos propuestos</w:t>
      </w:r>
      <w:r>
        <w:rPr>
          <w:rFonts w:ascii="Calibri" w:hAnsi="Calibri"/>
          <w:b w:val="0"/>
          <w:color w:val="2B2B2B"/>
          <w:sz w:val="22"/>
        </w:rPr>
        <w:t xml:space="preserve"> (no aplicados), plan de análisis, ética.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</w:t>
      </w:r>
      <w:r>
        <w:rPr>
          <w:rFonts w:ascii="Calibri" w:hAnsi="Calibri"/>
          <w:b/>
          <w:color w:val="2B2B2B"/>
          <w:sz w:val="22"/>
        </w:rPr>
        <w:t>cronograma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presupuesto</w:t>
      </w:r>
      <w:r>
        <w:rPr>
          <w:rFonts w:ascii="Calibri" w:hAnsi="Calibri"/>
          <w:b w:val="0"/>
          <w:color w:val="2B2B2B"/>
          <w:sz w:val="22"/>
        </w:rPr>
        <w:t xml:space="preserve"> (o recursos) viables para la continuidad del proyecto.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Integra todo el anteproyecto en un solo documento coherente (de portada a referencias).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Revisa integridad académica (similitud, citas, uso transparente de IA si la usaste).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Prepara el envío final grupal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Anteproyecto FINAL integrado</w:t>
      </w:r>
      <w:r>
        <w:rPr>
          <w:rFonts w:ascii="Calibri" w:hAnsi="Calibri"/>
          <w:b w:val="0"/>
          <w:color w:val="2B2B2B"/>
          <w:sz w:val="22"/>
        </w:rPr>
        <w:t xml:space="preserve"> (no un fragmento suelto)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Extensión orientativa: documento completo típico de anteproyecto de especialización (U2–U7).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Instrumentos solo </w:t>
      </w:r>
      <w:r>
        <w:rPr>
          <w:rFonts w:ascii="Calibri" w:hAnsi="Calibri"/>
          <w:b/>
          <w:color w:val="2B2B2B"/>
          <w:sz w:val="22"/>
        </w:rPr>
        <w:t>propuestos</w:t>
      </w:r>
      <w:r>
        <w:rPr>
          <w:rFonts w:ascii="Calibri" w:hAnsi="Calibri"/>
          <w:b w:val="0"/>
          <w:color w:val="2B2B2B"/>
          <w:sz w:val="22"/>
        </w:rPr>
        <w:t xml:space="preserve"> (anexos opcionales);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recolección de datos en Proyecto I.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Un solo envío grupal; portada con todos los integrantes.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de evaluación / checklist (ESP329)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Correcciones de la ACA 1 incorporadas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Metodología coherente con pregunta y objetivos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Instrumentos propuestos (no aplicados)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Cronograma y presupuesto/viabilidad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Coherencia global del anteproyecto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Escritura, fuentes, integridad y viabilidad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Tutorías: registra asistencia en https://forms.gle/oZ8xCYiUo3KEWr1d9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Las tutorías por grupo se acuerdan en la semana con el Docente (no hay atención espontánea sin cita).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(Tarea, 42%).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04/10/2026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08/11/2026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Puente metodológico en </w:t>
      </w: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; desarrollo en </w:t>
      </w:r>
      <w:r>
        <w:rPr>
          <w:rFonts w:ascii="Calibri" w:hAnsi="Calibri"/>
          <w:b/>
          <w:color w:val="2B2B2B"/>
          <w:sz w:val="22"/>
        </w:rPr>
        <w:t>Sesiones 09–10</w:t>
      </w:r>
      <w:r>
        <w:rPr>
          <w:rFonts w:ascii="Calibri" w:hAnsi="Calibri"/>
          <w:b w:val="0"/>
          <w:color w:val="2B2B2B"/>
          <w:sz w:val="22"/>
        </w:rPr>
        <w:t xml:space="preserve"> (la 10 es la última sincrónica antes del cierre); integración y evaluación en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>. Usa las tutorías acordadas en la semana: en esta fase hay pocas sesiones sincrónicas.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