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en Proyecto I la nota es </w:t>
      </w:r>
      <w:r>
        <w:rPr>
          <w:rFonts w:ascii="Calibri" w:hAnsi="Calibri"/>
          <w:b/>
          <w:color w:val="2B2B2B"/>
          <w:sz w:val="22"/>
        </w:rPr>
        <w:t>única</w:t>
      </w:r>
      <w:r>
        <w:rPr>
          <w:rFonts w:ascii="Calibri" w:hAnsi="Calibri"/>
          <w:b w:val="0"/>
          <w:color w:val="2B2B2B"/>
          <w:sz w:val="22"/>
        </w:rPr>
        <w:t xml:space="preserve"> (Art. 41 Reglamento Estudiantil) y este instrumento vale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(ESP329 · «MECANISMOS Y ESTRATEGIAS DE EVALUACIÓN»). Es obligatorio al cierre de Proyecto I (cronograma AFI / Instructivo Proyecto I).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4%)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(integración y evaluación). La ventana abre después de la ACA FINAL, en la fase final del periodo.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