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16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10/09/2026 – cierre 16/09/2026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(16/09/2026):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(26/08/2026) — Gestión de la innovación (Manual de Oslo / OCDE)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(02/09/2026) — Tipos de innovación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(09/09/2026) — Análisis de negocios · validación de la propuesta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(16/09/2026) — Vigilancia tecnológica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(09/09/2026): Sesión 06.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(Propuesta de Innovación · creatividad e inteligencia emocional).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>, con ejemplos propios.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los </w:t>
      </w:r>
      <w:r>
        <w:rPr>
          <w:rFonts w:ascii="Calibri" w:hAnsi="Calibri"/>
          <w:b/>
          <w:color w:val="2B2B2B"/>
          <w:sz w:val="22"/>
        </w:rPr>
        <w:t>tipos de innovación</w:t>
      </w:r>
      <w:r>
        <w:rPr>
          <w:rFonts w:ascii="Calibri" w:hAnsi="Calibri"/>
          <w:b w:val="0"/>
          <w:color w:val="2B2B2B"/>
          <w:sz w:val="22"/>
        </w:rPr>
        <w:t xml:space="preserve"> del Manual de Oslo / OCDE y para qué sirve cada herramienta (Design Thinking, FODA, Canvas, MVP, vigilancia tecnológica).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(vigilancia tecnológica):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