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31 de agosto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24/08/2026 – cierre 31/08/2026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(31/08/2026):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/ artículo de avance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curso: entra todo lo trabajado hasta su cierre.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claras las </w:t>
      </w:r>
      <w:r>
        <w:rPr>
          <w:rFonts w:ascii="Calibri" w:hAnsi="Calibri"/>
          <w:b/>
          <w:color w:val="2B2B2B"/>
          <w:sz w:val="22"/>
        </w:rPr>
        <w:t>partes del documento de grado</w:t>
      </w:r>
      <w:r>
        <w:rPr>
          <w:rFonts w:ascii="Calibri" w:hAnsi="Calibri"/>
          <w:b w:val="0"/>
          <w:color w:val="2B2B2B"/>
          <w:sz w:val="22"/>
        </w:rPr>
        <w:t xml:space="preserve"> y qué va en cada una (problema, marcos, metodología, instrumentos, plan de análisis).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>: cita en texto, referencia final y qué constituye plagio.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caso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(estructura del documento / artículo de avance). Recuerda que el 17/08 fue clase autónoma por festivo.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