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1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· Cuestionario · 6%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25 de agosto de 2026</w:t>
      </w:r>
      <w:r>
        <w:rPr>
          <w:rFonts w:ascii="Calibri" w:hAnsi="Calibri"/>
          <w:b w:val="0"/>
          <w:color w:val="2B2B2B"/>
          <w:sz w:val="22"/>
        </w:rPr>
        <w:t xml:space="preserve"> (mar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18/08/2026 – cierre 25/08/2026 · </w:t>
      </w:r>
      <w:r>
        <w:rPr>
          <w:rFonts w:ascii="Calibri" w:hAnsi="Calibri"/>
          <w:b/>
          <w:color w:val="2B2B2B"/>
          <w:sz w:val="22"/>
        </w:rPr>
        <w:t>6%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1 = 6%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24%.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Temario trabajado en clase </w:t>
      </w:r>
      <w:r>
        <w:rPr>
          <w:rFonts w:ascii="Calibri" w:hAnsi="Calibri"/>
          <w:b/>
          <w:color w:val="2B2B2B"/>
          <w:sz w:val="22"/>
        </w:rPr>
        <w:t>hasta el cierre</w:t>
      </w:r>
      <w:r>
        <w:rPr>
          <w:rFonts w:ascii="Calibri" w:hAnsi="Calibri"/>
          <w:b w:val="0"/>
          <w:color w:val="2B2B2B"/>
          <w:sz w:val="22"/>
        </w:rPr>
        <w:t xml:space="preserve"> (25/08/2026):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(18/08/2026) — Formulación de pregunta, objetivos y título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(25/08/2026) — Estructura del artículo · taller de introducción</w:t>
      </w:r>
    </w:p>
    <w:p>
      <w:r>
        <w:rPr>
          <w:rFonts w:ascii="Calibri" w:hAnsi="Calibri"/>
          <w:b w:val="0"/>
          <w:color w:val="2B2B2B"/>
          <w:sz w:val="22"/>
        </w:rPr>
        <w:t xml:space="preserve">Es el </w:t>
      </w:r>
      <w:r>
        <w:rPr>
          <w:rFonts w:ascii="Calibri" w:hAnsi="Calibri"/>
          <w:b/>
          <w:color w:val="2B2B2B"/>
          <w:sz w:val="22"/>
        </w:rPr>
        <w:t>primer</w:t>
      </w:r>
      <w:r>
        <w:rPr>
          <w:rFonts w:ascii="Calibri" w:hAnsi="Calibri"/>
          <w:b w:val="0"/>
          <w:color w:val="2B2B2B"/>
          <w:sz w:val="22"/>
        </w:rPr>
        <w:t xml:space="preserve"> cuestionario del curso: entra todo lo trabajado hasta su cierre.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(Casos de éxito · retomar proyecto · contexto y planteamiento)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Repasa el deck y tus apuntes de cada sesión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a mano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(casos de éxito · retomar el proyecto · contexto y planteamiento).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claras las </w:t>
      </w:r>
      <w:r>
        <w:rPr>
          <w:rFonts w:ascii="Calibri" w:hAnsi="Calibri"/>
          <w:b/>
          <w:color w:val="2B2B2B"/>
          <w:sz w:val="22"/>
        </w:rPr>
        <w:t>partes del artículo científico</w:t>
      </w:r>
      <w:r>
        <w:rPr>
          <w:rFonts w:ascii="Calibri" w:hAnsi="Calibri"/>
          <w:b w:val="0"/>
          <w:color w:val="2B2B2B"/>
          <w:sz w:val="22"/>
        </w:rPr>
        <w:t xml:space="preserve"> (resumen, introducción, referentes, metodología, resultados, discusión, conclusiones) y qué va en cada una.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Repasa </w:t>
      </w:r>
      <w:r>
        <w:rPr>
          <w:rFonts w:ascii="Calibri" w:hAnsi="Calibri"/>
          <w:b/>
          <w:color w:val="2B2B2B"/>
          <w:sz w:val="22"/>
        </w:rPr>
        <w:t>APA 7</w:t>
      </w:r>
      <w:r>
        <w:rPr>
          <w:rFonts w:ascii="Calibri" w:hAnsi="Calibri"/>
          <w:b w:val="0"/>
          <w:color w:val="2B2B2B"/>
          <w:sz w:val="22"/>
        </w:rPr>
        <w:t xml:space="preserve"> (cita, referencia, parafraseo) y qué cuenta como plagio.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artículo</w:t>
      </w:r>
      <w:r>
        <w:rPr>
          <w:rFonts w:ascii="Calibri" w:hAnsi="Calibri"/>
          <w:b w:val="0"/>
          <w:color w:val="2B2B2B"/>
          <w:sz w:val="22"/>
        </w:rPr>
        <w:t>: varios ítems se responden mejor con tu caso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(6%)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(Cuestionario, 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 / 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 / 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 / 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el día de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(estructura del artículo · taller de introducción).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