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27 de octubre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20/10/2026 – cierre 27/10/2026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2%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2%.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(27/10/2026):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(29/09/2026) — Fase III de referentes · cierre del marco teórico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(06/10/2026) — Resultados, discusión y relación con referentes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(13/10/2026) — Resumen, palabras clave UNESCO, conclusiones y referencias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(20/10/2026) — Póster · evidencias · verificación antiplagio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(27/10/2026) — Sustentación ante jurados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(13/10/2026): Sesión 11, Sesión 12.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(casos de éxito · retomar el proyecto · contexto y planteamiento).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claras las </w:t>
      </w:r>
      <w:r>
        <w:rPr>
          <w:rFonts w:ascii="Calibri" w:hAnsi="Calibri"/>
          <w:b/>
          <w:color w:val="2B2B2B"/>
          <w:sz w:val="22"/>
        </w:rPr>
        <w:t>partes del artículo científico</w:t>
      </w:r>
      <w:r>
        <w:rPr>
          <w:rFonts w:ascii="Calibri" w:hAnsi="Calibri"/>
          <w:b w:val="0"/>
          <w:color w:val="2B2B2B"/>
          <w:sz w:val="22"/>
        </w:rPr>
        <w:t xml:space="preserve"> (resumen, introducción, referentes, metodología, resultados, discusión, conclusiones) y qué va en cada una.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 xml:space="preserve"> (cita, referencia, parafraseo) y qué cuenta como plagio.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caso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15/11/2026 / 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(sustentación ante jurados): es el último cuestionario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