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26ET2-G-003 — Análisis y modernización del archivo municipal de la Secretaría de Gobierno de San Francisco, Putumayo, para mejorar la eficiencia documental en la vigencia 2024</w:t>
      </w:r>
    </w:p>
    <w:p>
      <w:r>
        <w:rPr>
          <w:rFonts w:ascii="Calibri" w:hAnsi="Calibri"/>
          <w:b/>
          <w:color w:val="2B2B2B"/>
          <w:sz w:val="22"/>
        </w:rPr>
        <w:t>Sustentación:</w:t>
      </w:r>
      <w:r>
        <w:rPr>
          <w:rFonts w:ascii="Calibri" w:hAnsi="Calibri"/>
          <w:b w:val="0"/>
          <w:color w:val="2B2B2B"/>
          <w:sz w:val="22"/>
        </w:rPr>
        <w:t xml:space="preserve"> martes 18 de agosto de 2026 · 6:40 p. m. – 7:00 p. m.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Integrantes:</w:t>
      </w:r>
      <w:r>
        <w:rPr>
          <w:rFonts w:ascii="Calibri" w:hAnsi="Calibri"/>
          <w:b w:val="0"/>
          <w:color w:val="2B2B2B"/>
          <w:sz w:val="22"/>
        </w:rPr>
        <w:t xml:space="preserve"> José Javier Galvis Noguera (jose.galvisn@cun.edu.co), Eliana Naranjo Cortés (correo cruzado en el cronograma, ver §8), Cristian David Forero Álvarez (correo cruzado en el cronograma, ver §8), Gloria Nahtaly Florez Susa (gloria.florezs@cun.edu.co)</w:t>
      </w:r>
    </w:p>
    <w:p>
      <w:r>
        <w:rPr>
          <w:rFonts w:ascii="Calibri" w:hAnsi="Calibri"/>
          <w:b/>
          <w:color w:val="2B2B2B"/>
          <w:sz w:val="22"/>
        </w:rPr>
        <w:t>Línea:</w:t>
      </w:r>
      <w:r>
        <w:rPr>
          <w:rFonts w:ascii="Calibri" w:hAnsi="Calibri"/>
          <w:b w:val="0"/>
          <w:color w:val="2B2B2B"/>
          <w:sz w:val="22"/>
        </w:rPr>
        <w:t xml:space="preserve"> Gestión y Tecnología</w:t>
      </w:r>
    </w:p>
    <w:p>
      <w:r>
        <w:rPr>
          <w:rFonts w:ascii="Calibri" w:hAnsi="Calibri"/>
          <w:b/>
          <w:color w:val="2B2B2B"/>
          <w:sz w:val="22"/>
        </w:rPr>
        <w:t>Directora / moderadora:</w:t>
      </w:r>
      <w:r>
        <w:rPr>
          <w:rFonts w:ascii="Calibri" w:hAnsi="Calibri"/>
          <w:b w:val="0"/>
          <w:color w:val="2B2B2B"/>
          <w:sz w:val="22"/>
        </w:rPr>
        <w:t xml:space="preserve"> María Fernanda Rivera Sanclemente · </w:t>
      </w:r>
      <w:r>
        <w:rPr>
          <w:rFonts w:ascii="Calibri" w:hAnsi="Calibri"/>
          <w:b/>
          <w:color w:val="2B2B2B"/>
          <w:sz w:val="22"/>
        </w:rPr>
        <w:t>Jurado 1:</w:t>
      </w:r>
      <w:r>
        <w:rPr>
          <w:rFonts w:ascii="Calibri" w:hAnsi="Calibri"/>
          <w:b w:val="0"/>
          <w:color w:val="2B2B2B"/>
          <w:sz w:val="22"/>
        </w:rPr>
        <w:t xml:space="preserve"> Hayder Alejandro Romero Sierra</w:t>
      </w:r>
    </w:p>
    <w:p>
      <w:r>
        <w:rPr>
          <w:rFonts w:ascii="Calibri" w:hAnsi="Calibri"/>
          <w:b/>
          <w:color w:val="2B2B2B"/>
          <w:sz w:val="22"/>
        </w:rPr>
        <w:t>Documentos leídos: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ACA_No_3_Proyecto_Final_VF.pdf</w:t>
      </w:r>
      <w:r>
        <w:rPr>
          <w:rFonts w:ascii="Calibri" w:hAnsi="Calibri"/>
          <w:b w:val="0"/>
          <w:color w:val="2B2B2B"/>
          <w:sz w:val="22"/>
        </w:rPr>
        <w:t xml:space="preserve"> (169 páginas — única versión en la carpeta del grupo) y </w:t>
      </w:r>
      <w:r>
        <w:rPr>
          <w:rFonts w:ascii="Consolas" w:hAnsi="Consolas"/>
          <w:color w:val="111111"/>
          <w:sz w:val="21"/>
        </w:rPr>
        <w:t>presentación - Proyecto 2.pptx</w:t>
      </w:r>
      <w:r>
        <w:rPr>
          <w:rFonts w:ascii="Calibri" w:hAnsi="Calibri"/>
          <w:b w:val="0"/>
          <w:color w:val="2B2B2B"/>
          <w:sz w:val="22"/>
        </w:rPr>
        <w:t xml:space="preserve"> (10 diapositivas)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Resumen para leer en 5 minutos</w:t>
      </w:r>
    </w:p>
    <w:p>
      <w:r>
        <w:rPr>
          <w:rFonts w:ascii="Calibri" w:hAnsi="Calibri"/>
          <w:b w:val="0"/>
          <w:color w:val="2B2B2B"/>
          <w:sz w:val="22"/>
        </w:rPr>
        <w:t xml:space="preserve">El proyecto interviene el archivo de la Secretaría de Gobierno de San Francisco (Putumayo). El objeto de estudio es el fondo documental de la vigencia fiscal </w:t>
      </w:r>
      <w:r>
        <w:rPr>
          <w:rFonts w:ascii="Calibri" w:hAnsi="Calibri"/>
          <w:b/>
          <w:color w:val="2B2B2B"/>
          <w:sz w:val="22"/>
        </w:rPr>
        <w:t>2024</w:t>
      </w:r>
      <w:r>
        <w:rPr>
          <w:rFonts w:ascii="Calibri" w:hAnsi="Calibri"/>
          <w:b w:val="0"/>
          <w:color w:val="2B2B2B"/>
          <w:sz w:val="22"/>
        </w:rPr>
        <w:t xml:space="preserve">, mientras que el desarrollo técnico y la redacción se ejecutaron en </w:t>
      </w:r>
      <w:r>
        <w:rPr>
          <w:rFonts w:ascii="Calibri" w:hAnsi="Calibri"/>
          <w:b/>
          <w:color w:val="2B2B2B"/>
          <w:sz w:val="22"/>
        </w:rPr>
        <w:t>2026</w:t>
      </w:r>
      <w:r>
        <w:rPr>
          <w:rFonts w:ascii="Calibri" w:hAnsi="Calibri"/>
          <w:b w:val="0"/>
          <w:color w:val="2B2B2B"/>
          <w:sz w:val="22"/>
        </w:rPr>
        <w:t xml:space="preserve"> (p. 14) — el propio documento advierte ese desfase.</w:t>
      </w:r>
    </w:p>
    <w:p>
      <w:r>
        <w:rPr>
          <w:rFonts w:ascii="Calibri" w:hAnsi="Calibri"/>
          <w:b/>
          <w:color w:val="2B2B2B"/>
          <w:sz w:val="22"/>
        </w:rPr>
        <w:t>Problema.</w:t>
      </w:r>
      <w:r>
        <w:rPr>
          <w:rFonts w:ascii="Calibri" w:hAnsi="Calibri"/>
          <w:b w:val="0"/>
          <w:color w:val="2B2B2B"/>
          <w:sz w:val="22"/>
        </w:rPr>
        <w:t xml:space="preserve"> Gestión documental manual, sin inventario formal, sin SGDEA, con deterioro por humedad y sin trazabilidad; tiempos de localización de un expediente </w:t>
      </w:r>
      <w:r>
        <w:rPr>
          <w:rFonts w:ascii="Calibri" w:hAnsi="Calibri"/>
          <w:b/>
          <w:color w:val="2B2B2B"/>
          <w:sz w:val="22"/>
        </w:rPr>
        <w:t>entre 45 y 90 minutos</w:t>
      </w:r>
      <w:r>
        <w:rPr>
          <w:rFonts w:ascii="Calibri" w:hAnsi="Calibri"/>
          <w:b w:val="0"/>
          <w:color w:val="2B2B2B"/>
          <w:sz w:val="22"/>
        </w:rPr>
        <w:t xml:space="preserve"> (pp. 17-18, 80).</w:t>
      </w:r>
    </w:p>
    <w:p>
      <w:r>
        <w:rPr>
          <w:rFonts w:ascii="Calibri" w:hAnsi="Calibri"/>
          <w:b/>
          <w:color w:val="2B2B2B"/>
          <w:sz w:val="22"/>
        </w:rPr>
        <w:t>Método.</w:t>
      </w:r>
      <w:r>
        <w:rPr>
          <w:rFonts w:ascii="Calibri" w:hAnsi="Calibri"/>
          <w:b w:val="0"/>
          <w:color w:val="2B2B2B"/>
          <w:sz w:val="22"/>
        </w:rPr>
        <w:t xml:space="preserve"> Enfoque mixto declarado, bajo modelo de investigación-acción (pp. 71, 23). Instrumentos: FUID del Acuerdo 042 de 2002, </w:t>
      </w:r>
      <w:r>
        <w:rPr>
          <w:rFonts w:ascii="Calibri" w:hAnsi="Calibri"/>
          <w:b/>
          <w:color w:val="2B2B2B"/>
          <w:sz w:val="22"/>
        </w:rPr>
        <w:t>matriz de diagnóstico de 20 aspectos en 6 dimensiones</w:t>
      </w:r>
      <w:r>
        <w:rPr>
          <w:rFonts w:ascii="Calibri" w:hAnsi="Calibri"/>
          <w:b w:val="0"/>
          <w:color w:val="2B2B2B"/>
          <w:sz w:val="22"/>
        </w:rPr>
        <w:t xml:space="preserve"> calificados de 1 a 5, y </w:t>
      </w:r>
      <w:r>
        <w:rPr>
          <w:rFonts w:ascii="Calibri" w:hAnsi="Calibri"/>
          <w:b/>
          <w:color w:val="2B2B2B"/>
          <w:sz w:val="22"/>
        </w:rPr>
        <w:t>4 encuestas/entrevistas semiestructuradas</w:t>
      </w:r>
      <w:r>
        <w:rPr>
          <w:rFonts w:ascii="Calibri" w:hAnsi="Calibri"/>
          <w:b w:val="0"/>
          <w:color w:val="2B2B2B"/>
          <w:sz w:val="22"/>
        </w:rPr>
        <w:t xml:space="preserve"> a funcionarios, aplicadas el 24 de junio de 2026 (pp. 72, 76-79, 141, 167). Se declara consentimiento informado (Ley 1581 de 2012) para entrevistas y fotografías (p. 72).</w:t>
      </w:r>
    </w:p>
    <w:p>
      <w:r>
        <w:rPr>
          <w:rFonts w:ascii="Calibri" w:hAnsi="Calibri"/>
          <w:b/>
          <w:color w:val="2B2B2B"/>
          <w:sz w:val="22"/>
        </w:rPr>
        <w:t>Resultado del diagnóstico (objetivo 1).</w:t>
      </w:r>
      <w:r>
        <w:rPr>
          <w:rFonts w:ascii="Calibri" w:hAnsi="Calibri"/>
          <w:b w:val="0"/>
          <w:color w:val="2B2B2B"/>
          <w:sz w:val="22"/>
        </w:rPr>
        <w:t xml:space="preserve"> Promedio general </w:t>
      </w:r>
      <w:r>
        <w:rPr>
          <w:rFonts w:ascii="Calibri" w:hAnsi="Calibri"/>
          <w:b/>
          <w:color w:val="2B2B2B"/>
          <w:sz w:val="22"/>
        </w:rPr>
        <w:t>1,9/5</w:t>
      </w:r>
      <w:r>
        <w:rPr>
          <w:rFonts w:ascii="Calibri" w:hAnsi="Calibri"/>
          <w:b w:val="0"/>
          <w:color w:val="2B2B2B"/>
          <w:sz w:val="22"/>
        </w:rPr>
        <w:t xml:space="preserve">: 9 ítems críticos, 8 deficientes, 1 aceptable y 2 en cumplimiento; el 85 % exige intervención (p. 81). Por dimensión: trazabilidad y seguridad 1,33; tecnología y cumplimiento normativo 1,67; organización 1,75; conservación física 3,25, la única sobre el umbral (p. 82). El FUID se aplicó </w:t>
      </w:r>
      <w:r>
        <w:rPr>
          <w:rFonts w:ascii="Calibri" w:hAnsi="Calibri"/>
          <w:b/>
          <w:color w:val="2B2B2B"/>
          <w:sz w:val="22"/>
        </w:rPr>
        <w:t>sobre una muestra, no censal</w:t>
      </w:r>
      <w:r>
        <w:rPr>
          <w:rFonts w:ascii="Calibri" w:hAnsi="Calibri"/>
          <w:b w:val="0"/>
          <w:color w:val="2B2B2B"/>
          <w:sz w:val="22"/>
        </w:rPr>
        <w:t>, y corresponde al «diseño y aplicación piloto del instrumento» (pp. 78, 86, 130).</w:t>
      </w:r>
    </w:p>
    <w:p>
      <w:r>
        <w:rPr>
          <w:rFonts w:ascii="Calibri" w:hAnsi="Calibri"/>
          <w:b/>
          <w:color w:val="2B2B2B"/>
          <w:sz w:val="22"/>
        </w:rPr>
        <w:t>Producto (objetivos 2 y 3).</w:t>
      </w:r>
      <w:r>
        <w:rPr>
          <w:rFonts w:ascii="Calibri" w:hAnsi="Calibri"/>
          <w:b w:val="0"/>
          <w:color w:val="2B2B2B"/>
          <w:sz w:val="22"/>
        </w:rPr>
        <w:t xml:space="preserve"> Prototipo </w:t>
      </w:r>
      <w:r>
        <w:rPr>
          <w:rFonts w:ascii="Calibri" w:hAnsi="Calibri"/>
          <w:b/>
          <w:color w:val="2B2B2B"/>
          <w:sz w:val="22"/>
        </w:rPr>
        <w:t>SGDEA</w:t>
      </w:r>
      <w:r>
        <w:rPr>
          <w:rFonts w:ascii="Calibri" w:hAnsi="Calibri"/>
          <w:b w:val="0"/>
          <w:color w:val="2B2B2B"/>
          <w:sz w:val="22"/>
        </w:rPr>
        <w:t xml:space="preserve">: Flask 3.0.3 + PostgreSQL 16 en dos contenedores Docker, ejecutado en el </w:t>
      </w:r>
      <w:r>
        <w:rPr>
          <w:rFonts w:ascii="Calibri" w:hAnsi="Calibri"/>
          <w:b/>
          <w:color w:val="2B2B2B"/>
          <w:sz w:val="22"/>
        </w:rPr>
        <w:t>portátil personal de un integrante</w:t>
      </w:r>
      <w:r>
        <w:rPr>
          <w:rFonts w:ascii="Calibri" w:hAnsi="Calibri"/>
          <w:b w:val="0"/>
          <w:color w:val="2B2B2B"/>
          <w:sz w:val="22"/>
        </w:rPr>
        <w:t xml:space="preserve">, consumido en </w:t>
      </w:r>
      <w:r>
        <w:rPr>
          <w:rFonts w:ascii="Consolas" w:hAnsi="Consolas"/>
          <w:color w:val="111111"/>
          <w:sz w:val="21"/>
        </w:rPr>
        <w:t>http://localhost:5000</w:t>
      </w:r>
      <w:r>
        <w:rPr>
          <w:rFonts w:ascii="Calibri" w:hAnsi="Calibri"/>
          <w:b w:val="0"/>
          <w:color w:val="2B2B2B"/>
          <w:sz w:val="22"/>
        </w:rPr>
        <w:t xml:space="preserve"> (pp. 89-91). Diseño archivístico serio: DCF de tres niveles, DRS por serie, modelo entidad-relación de 14 entidades y modelo lógico con PK/FK y restricciones (pp. 88, 97-100). Seguridad: RBAC con </w:t>
      </w:r>
      <w:r>
        <w:rPr>
          <w:rFonts w:ascii="Calibri" w:hAnsi="Calibri"/>
          <w:b/>
          <w:color w:val="2B2B2B"/>
          <w:sz w:val="22"/>
        </w:rPr>
        <w:t>6 perfiles</w:t>
      </w:r>
      <w:r>
        <w:rPr>
          <w:rFonts w:ascii="Calibri" w:hAnsi="Calibri"/>
          <w:b w:val="0"/>
          <w:color w:val="2B2B2B"/>
          <w:sz w:val="22"/>
        </w:rPr>
        <w:t xml:space="preserve"> y matriz de permisos, auditoría append-only (pp. 93-94, 105-110).</w:t>
      </w:r>
    </w:p>
    <w:p>
      <w:r>
        <w:rPr>
          <w:rFonts w:ascii="Calibri" w:hAnsi="Calibri"/>
          <w:b/>
          <w:color w:val="2B2B2B"/>
          <w:sz w:val="22"/>
        </w:rPr>
        <w:t>Honestidad del alcance.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Tabla 14 (pp. 104-105)</w:t>
      </w:r>
      <w:r>
        <w:rPr>
          <w:rFonts w:ascii="Calibri" w:hAnsi="Calibri"/>
          <w:b w:val="0"/>
          <w:color w:val="2B2B2B"/>
          <w:sz w:val="22"/>
        </w:rPr>
        <w:t xml:space="preserve"> clasifica cada capacidad en implementado / representado en el prototipo / diseñado / proyectado: *implementado y probado* → Flask-PostgreSQL, radicación con consecutivo (SGDEA-2026-000128), búsqueda con filtros, clasificación TRD, RBAC de 6 perfiles y persistencia por volumen; *solo representado* → cifrado AES-256 (Restic), hash SHA-256, OCR (Tesseract) y MinIO; *proyectado* → TLS, MFA, pruebas de usabilidad y seguridad e </w:t>
      </w:r>
      <w:r>
        <w:rPr>
          <w:rFonts w:ascii="Calibri" w:hAnsi="Calibri"/>
          <w:b/>
          <w:color w:val="2B2B2B"/>
          <w:sz w:val="22"/>
        </w:rPr>
        <w:t>implementación institucional</w:t>
      </w:r>
      <w:r>
        <w:rPr>
          <w:rFonts w:ascii="Calibri" w:hAnsi="Calibri"/>
          <w:b w:val="0"/>
          <w:color w:val="2B2B2B"/>
          <w:sz w:val="22"/>
        </w:rPr>
        <w:t>. Seis casos de prueba CP-01 a CP-06, todos «aprobados», uno con observación (pp. 109-110).</w:t>
      </w:r>
    </w:p>
    <w:p>
      <w:r>
        <w:rPr>
          <w:rFonts w:ascii="Calibri" w:hAnsi="Calibri"/>
          <w:b/>
          <w:color w:val="2B2B2B"/>
          <w:sz w:val="22"/>
        </w:rPr>
        <w:t>Lo proyectado, no medido.</w:t>
      </w:r>
      <w:r>
        <w:rPr>
          <w:rFonts w:ascii="Calibri" w:hAnsi="Calibri"/>
          <w:b w:val="0"/>
          <w:color w:val="2B2B2B"/>
          <w:sz w:val="22"/>
        </w:rPr>
        <w:t xml:space="preserve"> Reducción de tiempos a &lt;5 minutos, metas de la tabla de impacto y la mejora por dimensión son </w:t>
      </w:r>
      <w:r>
        <w:rPr>
          <w:rFonts w:ascii="Calibri" w:hAnsi="Calibri"/>
          <w:b/>
          <w:color w:val="2B2B2B"/>
          <w:sz w:val="22"/>
        </w:rPr>
        <w:t>proyecciones</w:t>
      </w:r>
      <w:r>
        <w:rPr>
          <w:rFonts w:ascii="Calibri" w:hAnsi="Calibri"/>
          <w:b w:val="0"/>
          <w:color w:val="2B2B2B"/>
          <w:sz w:val="22"/>
        </w:rPr>
        <w:t>, y el documento lo dice (pp. 24, 92, 113-114). Cierra con 28 semanas de cronograma de implementación (p. 96), conclusiones (pp. 133-134) y recomendaciones por dimensión (pp. 135-136).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Coherencia título → objetivo → resultados</w:t>
      </w:r>
    </w:p>
    <w:p>
      <w:r>
        <w:rPr>
          <w:rFonts w:ascii="Calibri" w:hAnsi="Calibri"/>
          <w:b/>
          <w:color w:val="2B2B2B"/>
          <w:sz w:val="22"/>
        </w:rPr>
        <w:t>Título</w:t>
      </w:r>
      <w:r>
        <w:rPr>
          <w:rFonts w:ascii="Calibri" w:hAnsi="Calibri"/>
          <w:b w:val="0"/>
          <w:color w:val="2B2B2B"/>
          <w:sz w:val="22"/>
        </w:rPr>
        <w:t xml:space="preserve"> («análisis y modernización… para mejorar la eficiencia documental») y </w:t>
      </w:r>
      <w:r>
        <w:rPr>
          <w:rFonts w:ascii="Calibri" w:hAnsi="Calibri"/>
          <w:b/>
          <w:color w:val="2B2B2B"/>
          <w:sz w:val="22"/>
        </w:rPr>
        <w:t>objetivo general</w:t>
      </w:r>
      <w:r>
        <w:rPr>
          <w:rFonts w:ascii="Calibri" w:hAnsi="Calibri"/>
          <w:b w:val="0"/>
          <w:color w:val="2B2B2B"/>
          <w:sz w:val="22"/>
        </w:rPr>
        <w:t xml:space="preserve"> («</w:t>
      </w:r>
      <w:r>
        <w:rPr>
          <w:rFonts w:ascii="Calibri" w:hAnsi="Calibri"/>
          <w:b/>
          <w:color w:val="2B2B2B"/>
          <w:sz w:val="22"/>
        </w:rPr>
        <w:t>Modernizar</w:t>
      </w:r>
      <w:r>
        <w:rPr>
          <w:rFonts w:ascii="Calibri" w:hAnsi="Calibri"/>
          <w:b w:val="0"/>
          <w:color w:val="2B2B2B"/>
          <w:sz w:val="22"/>
        </w:rPr>
        <w:t xml:space="preserve"> el archivo municipal… en 2024», p. 20) prometen un verbo de implementación. Lo que existe y está evidenciado es un </w:t>
      </w:r>
      <w:r>
        <w:rPr>
          <w:rFonts w:ascii="Calibri" w:hAnsi="Calibri"/>
          <w:b/>
          <w:color w:val="2B2B2B"/>
          <w:sz w:val="22"/>
        </w:rPr>
        <w:t>diagnóstico + un prototipo verificado en laboratorio</w:t>
      </w:r>
      <w:r>
        <w:rPr>
          <w:rFonts w:ascii="Calibri" w:hAnsi="Calibri"/>
          <w:b w:val="0"/>
          <w:color w:val="2B2B2B"/>
          <w:sz w:val="22"/>
        </w:rPr>
        <w:t>, con la implementación institucional explícitamente aplazada (p. 105). El techo real del trabajo es *diagnosticar y diseñar/prototipar*, no *modernizar*. La pregunta de investigación (p. 19) pregunta «cómo la implementación… moderniza… y mejora la eficiencia», algo que el propio documento no responde con datos, sino con proyecciones (pp. 92, 113).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Objetivo específico (p. 20)</w:t>
            </w:r>
          </w:p>
        </w:tc>
        <w:tc>
          <w:tcPr>
            <w:tcW w:type="dxa" w:w="244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¿Se cumplió?</w:t>
            </w:r>
          </w:p>
        </w:tc>
        <w:tc>
          <w:tcPr>
            <w:tcW w:type="dxa" w:w="244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Evidencia (p.)</w:t>
            </w:r>
          </w:p>
        </w:tc>
        <w:tc>
          <w:tcPr>
            <w:tcW w:type="dxa" w:w="244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Qué falta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1. Gestionar el archivo mediante diagnóstico e </w:t>
            </w:r>
            <w:r>
              <w:rPr>
                <w:rFonts w:ascii="Calibri" w:hAnsi="Calibri"/>
                <w:b/>
                <w:color w:val="2B2B2B"/>
                <w:sz w:val="20"/>
              </w:rPr>
              <w:t>inventario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de 2024 según AGN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Sí, en la parte de diagnóstico; parcial en inventario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Matriz de 20 aspectos y promedio 1,9/5 (pp. 79-84); FUID adaptado (pp. 77-78); autoevaluación de cumplimiento (p. 86)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El inventario </w:t>
            </w:r>
            <w:r>
              <w:rPr>
                <w:rFonts w:ascii="Calibri" w:hAnsi="Calibri"/>
                <w:b/>
                <w:color w:val="2B2B2B"/>
                <w:sz w:val="20"/>
              </w:rPr>
              <w:t>no es censal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y </w:t>
            </w:r>
            <w:r>
              <w:rPr>
                <w:rFonts w:ascii="Calibri" w:hAnsi="Calibri"/>
                <w:b/>
                <w:color w:val="2B2B2B"/>
                <w:sz w:val="20"/>
              </w:rPr>
              <w:t>nunca se cuantifica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: no hay número de expedientes, folios ni metros lineales (pp. 78, 86, 130). La Tabla 2 muestra los *campos* del FUID, no datos</w:t>
            </w:r>
          </w:p>
        </w:tc>
      </w:tr>
      <w:tr>
        <w:tc>
          <w:tcPr>
            <w:tcW w:type="dxa" w:w="244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2. Desarrollar plataforma piloto con DCF y DRS</w:t>
            </w:r>
          </w:p>
        </w:tc>
        <w:tc>
          <w:tcPr>
            <w:tcW w:type="dxa" w:w="244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Sí, como prueba de concepto</w:t>
            </w:r>
          </w:p>
        </w:tc>
        <w:tc>
          <w:tcPr>
            <w:tcW w:type="dxa" w:w="244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Arquitectura (p. 87), DCF/DRS (p. 88), figuras C-1 a C-7 del prototipo (pp. 106-109), CP-01 a CP-04 (pp. 109-110)</w:t>
            </w:r>
          </w:p>
        </w:tc>
        <w:tc>
          <w:tcPr>
            <w:tcW w:type="dxa" w:w="244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Corre en equipo personal, no en la entidad (pp. 89-91); OCR y MinIO solo «representados» (p. 105); alertas del DRS y control de versiones </w:t>
            </w:r>
            <w:r>
              <w:rPr>
                <w:rFonts w:ascii="Calibri" w:hAnsi="Calibri"/>
                <w:b/>
                <w:color w:val="2B2B2B"/>
                <w:sz w:val="20"/>
              </w:rPr>
              <w:t>diseñados, no implementados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(p. 105)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3. Establecer requisitos de seguridad y acceso, perfiles y protocolos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Sí en diseño; parcial en implementación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RBAC de 6 perfiles y matriz (pp. 93-94), protocolos (p. 94), CP-05 y CP-06 (p. 110)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Cifrado AES-256 y hash SHA-256 </w:t>
            </w:r>
            <w:r>
              <w:rPr>
                <w:rFonts w:ascii="Calibri" w:hAnsi="Calibri"/>
                <w:b/>
                <w:color w:val="2B2B2B"/>
                <w:sz w:val="20"/>
              </w:rPr>
              <w:t>representados, no integrados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; auditoría «implementada parcial: falta IP y resultado» (pp. 104-105); MFA proyectado</w:t>
            </w:r>
          </w:p>
        </w:tc>
      </w:tr>
      <w:tr>
        <w:tc>
          <w:tcPr>
            <w:tcW w:type="dxa" w:w="244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4. </w:t>
            </w:r>
            <w:r>
              <w:rPr>
                <w:rFonts w:ascii="Calibri" w:hAnsi="Calibri"/>
                <w:b/>
                <w:color w:val="2B2B2B"/>
                <w:sz w:val="20"/>
              </w:rPr>
              <w:t>Verificar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el funcionamiento «en un entorno institucional controlado» frente a la normativa</w:t>
            </w:r>
          </w:p>
        </w:tc>
        <w:tc>
          <w:tcPr>
            <w:tcW w:type="dxa" w:w="244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 en el entorno institucional</w:t>
            </w:r>
          </w:p>
        </w:tc>
        <w:tc>
          <w:tcPr>
            <w:tcW w:type="dxa" w:w="244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Se declara cumplido en entorno de simulación Docker (p. 132); pruebas de persistencia (pp. 120-121)</w:t>
            </w:r>
          </w:p>
        </w:tc>
        <w:tc>
          <w:tcPr>
            <w:tcW w:type="dxa" w:w="244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verificación fue en laboratorio local; «pruebas de usabilidad y de seguridad: </w:t>
            </w:r>
            <w:r>
              <w:rPr>
                <w:rFonts w:ascii="Calibri" w:hAnsi="Calibri"/>
                <w:b/>
                <w:color w:val="2B2B2B"/>
                <w:sz w:val="20"/>
              </w:rPr>
              <w:t>pendientes de ejecución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» e «implementación institucional: </w:t>
            </w:r>
            <w:r>
              <w:rPr>
                <w:rFonts w:ascii="Calibri" w:hAnsi="Calibri"/>
                <w:b/>
                <w:color w:val="2B2B2B"/>
                <w:sz w:val="20"/>
              </w:rPr>
              <w:t>proyectada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» (p. 105). El apartado de verificación institucional está redactado en futuro (p. 112)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Nudo de la incoherencia:</w:t>
      </w:r>
      <w:r>
        <w:rPr>
          <w:rFonts w:ascii="Calibri" w:hAnsi="Calibri"/>
          <w:b w:val="0"/>
          <w:color w:val="2B2B2B"/>
          <w:sz w:val="22"/>
        </w:rPr>
        <w:t xml:space="preserve"> el capítulo de alcance afirma en pasado hechos que el resto del documento desmiente. P. 27: «Se </w:t>
      </w:r>
      <w:r>
        <w:rPr>
          <w:rFonts w:ascii="Calibri" w:hAnsi="Calibri"/>
          <w:b/>
          <w:color w:val="2B2B2B"/>
          <w:sz w:val="22"/>
        </w:rPr>
        <w:t>desplegó</w:t>
      </w:r>
      <w:r>
        <w:rPr>
          <w:rFonts w:ascii="Calibri" w:hAnsi="Calibri"/>
          <w:b w:val="0"/>
          <w:color w:val="2B2B2B"/>
          <w:sz w:val="22"/>
        </w:rPr>
        <w:t xml:space="preserve"> la aplicación de prueba de forma piloto en la Secretaría de Gobierno», «Se </w:t>
      </w:r>
      <w:r>
        <w:rPr>
          <w:rFonts w:ascii="Calibri" w:hAnsi="Calibri"/>
          <w:b/>
          <w:color w:val="2B2B2B"/>
          <w:sz w:val="22"/>
        </w:rPr>
        <w:t>digitalizaron</w:t>
      </w:r>
      <w:r>
        <w:rPr>
          <w:rFonts w:ascii="Calibri" w:hAnsi="Calibri"/>
          <w:b w:val="0"/>
          <w:color w:val="2B2B2B"/>
          <w:sz w:val="22"/>
        </w:rPr>
        <w:t xml:space="preserve"> selectivamente documentos prioritarios» y (p. 27-28) «Se </w:t>
      </w:r>
      <w:r>
        <w:rPr>
          <w:rFonts w:ascii="Calibri" w:hAnsi="Calibri"/>
          <w:b/>
          <w:color w:val="2B2B2B"/>
          <w:sz w:val="22"/>
        </w:rPr>
        <w:t>realizaron</w:t>
      </w:r>
      <w:r>
        <w:rPr>
          <w:rFonts w:ascii="Calibri" w:hAnsi="Calibri"/>
          <w:b w:val="0"/>
          <w:color w:val="2B2B2B"/>
          <w:sz w:val="22"/>
        </w:rPr>
        <w:t xml:space="preserve"> sesiones de capacitación». No hay evidencia de ninguna de las tres: la implementación institucional está proyectada (p. 105), no se reporta ni una página digitalizada frente a la meta de «al menos 200 páginas» (p. 24) y las entrevistas preguntan a los funcionarios si *estarían dispuestos a recibir capacitación* (pp. 146, 153, 166), lo que sitúa la capacitación después del trabajo de campo.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Fortalezas verificables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La Tabla 14 (pp. 104-105) es lo mejor del trabajo.</w:t>
      </w:r>
      <w:r>
        <w:rPr>
          <w:rFonts w:ascii="Calibri" w:hAnsi="Calibri"/>
          <w:b w:val="0"/>
          <w:color w:val="2B2B2B"/>
          <w:sz w:val="22"/>
        </w:rPr>
        <w:t xml:space="preserve"> Clasificar cada funcionalidad en implementado / representado / diseñado / proyectado, y decir explícitamente «para no atribuir a la solución funciones que aún no operan en producción» (p. 104), es una honestidad técnica poco común en este nivel. Vale la pena reconocérselo en voz alta.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Diagnóstico con línea base defendible.</w:t>
      </w:r>
      <w:r>
        <w:rPr>
          <w:rFonts w:ascii="Calibri" w:hAnsi="Calibri"/>
          <w:b w:val="0"/>
          <w:color w:val="2B2B2B"/>
          <w:sz w:val="22"/>
        </w:rPr>
        <w:t xml:space="preserve"> 20 aspectos, 6 dimensiones, escala 1-5, promedios por dimensión y tres gráficas de lectura distinta (barras, distribución y radar) (pp. 79-85). El 1,9/5 se puede rastrear ítem por ítem hasta la Tabla 3.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Diseño archivístico bien anclado.</w:t>
      </w:r>
      <w:r>
        <w:rPr>
          <w:rFonts w:ascii="Calibri" w:hAnsi="Calibri"/>
          <w:b w:val="0"/>
          <w:color w:val="2B2B2B"/>
          <w:sz w:val="22"/>
        </w:rPr>
        <w:t xml:space="preserve"> El DCF traduce el CCD y el DRS automatiza la TRD, con la decisión de eliminación reservada al humano (p. 88); los principios archivísticos se mapean uno a uno contra la plataforma (Tabla 4, p. 89).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Ingeniería de datos por encima del promedio.</w:t>
      </w:r>
      <w:r>
        <w:rPr>
          <w:rFonts w:ascii="Calibri" w:hAnsi="Calibri"/>
          <w:b w:val="0"/>
          <w:color w:val="2B2B2B"/>
          <w:sz w:val="22"/>
        </w:rPr>
        <w:t xml:space="preserve"> Modelo E-R de 14 entidades en 4 dominios, tablas puente para las relaciones muchos-a-muchos del RBAC, modelo lógico con tipos, UNIQUE, NOT NULL y reglas ON DELETE/ON UPDATE, y auditoría append-only (pp. 97-100, 109).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Prueba de resiliencia real.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docker compose down</w:t>
      </w:r>
      <w:r>
        <w:rPr>
          <w:rFonts w:ascii="Calibri" w:hAnsi="Calibri"/>
          <w:b w:val="0"/>
          <w:color w:val="2B2B2B"/>
          <w:sz w:val="22"/>
        </w:rPr>
        <w:t xml:space="preserve"> / </w:t>
      </w:r>
      <w:r>
        <w:rPr>
          <w:rFonts w:ascii="Consolas" w:hAnsi="Consolas"/>
          <w:color w:val="111111"/>
          <w:sz w:val="21"/>
        </w:rPr>
        <w:t>up</w:t>
      </w:r>
      <w:r>
        <w:rPr>
          <w:rFonts w:ascii="Calibri" w:hAnsi="Calibri"/>
          <w:b w:val="0"/>
          <w:color w:val="2B2B2B"/>
          <w:sz w:val="22"/>
        </w:rPr>
        <w:t xml:space="preserve"> con persistencia por volumen </w:t>
      </w:r>
      <w:r>
        <w:rPr>
          <w:rFonts w:ascii="Consolas" w:hAnsi="Consolas"/>
          <w:color w:val="111111"/>
          <w:sz w:val="21"/>
        </w:rPr>
        <w:t>db_data</w:t>
      </w:r>
      <w:r>
        <w:rPr>
          <w:rFonts w:ascii="Calibri" w:hAnsi="Calibri"/>
          <w:b w:val="0"/>
          <w:color w:val="2B2B2B"/>
          <w:sz w:val="22"/>
        </w:rPr>
        <w:t xml:space="preserve"> verificada (CP-01, p. 109; pp. 120-121). Es una prueba pequeña, pero es una prueba, no una promesa.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Decisión de infraestructura justificada por contexto.</w:t>
      </w:r>
      <w:r>
        <w:rPr>
          <w:rFonts w:ascii="Calibri" w:hAnsi="Calibri"/>
          <w:b w:val="0"/>
          <w:color w:val="2B2B2B"/>
          <w:sz w:val="22"/>
        </w:rPr>
        <w:t xml:space="preserve"> Simulación local con recursos modestos como paso previo a la nube MinTIC, con la conectividad del municipio como argumento (pp. 89-90, 128-130, 135).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Consideración de datos personales.</w:t>
      </w:r>
      <w:r>
        <w:rPr>
          <w:rFonts w:ascii="Calibri" w:hAnsi="Calibri"/>
          <w:b w:val="0"/>
          <w:color w:val="2B2B2B"/>
          <w:sz w:val="22"/>
        </w:rPr>
        <w:t xml:space="preserve"> Consentimiento informado para entrevistas y fotografías, y uso académico declarado (p. 72).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Debilidades y huecos (con página)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El verbo del objetivo general excede el producto.</w:t>
      </w:r>
      <w:r>
        <w:rPr>
          <w:rFonts w:ascii="Calibri" w:hAnsi="Calibri"/>
          <w:b w:val="0"/>
          <w:color w:val="2B2B2B"/>
          <w:sz w:val="22"/>
        </w:rPr>
        <w:t xml:space="preserve"> «Modernizar… en 2024» frente a un prototipo no desplegado (pp. 20, 105). No es un problema de esfuerzo, es de formulación: el trabajo entrega diagnóstico y diseño/prototipo.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Afirmaciones en pasado sin respaldo</w:t>
      </w:r>
      <w:r>
        <w:rPr>
          <w:rFonts w:ascii="Calibri" w:hAnsi="Calibri"/>
          <w:b w:val="0"/>
          <w:color w:val="2B2B2B"/>
          <w:sz w:val="22"/>
        </w:rPr>
        <w:t xml:space="preserve"> (p. 27): despliegue piloto en la entidad, digitalización de documentos prioritarios y sesiones de capacitación. Ninguna tiene evidencia y las tres se contradicen con la p. 105 y con las entrevistas (pp. 146, 153, 166).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La muestra nunca se cuantifica.</w:t>
      </w:r>
      <w:r>
        <w:rPr>
          <w:rFonts w:ascii="Calibri" w:hAnsi="Calibri"/>
          <w:b w:val="0"/>
          <w:color w:val="2B2B2B"/>
          <w:sz w:val="22"/>
        </w:rPr>
        <w:t xml:space="preserve"> «Muestra representativa» (pp. 71, 78, 86, 130) sin número de expedientes, folios ni metros lineales, y sin criterio de selección. Con el alcance de estudio de caso una muestra pequeña es perfectamente aceptable; lo que no es aceptable es no decir cuál fue.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La presentación dice «muestra de tipo censal» (diapositiva 4)</w:t>
      </w:r>
      <w:r>
        <w:rPr>
          <w:rFonts w:ascii="Calibri" w:hAnsi="Calibri"/>
          <w:b w:val="0"/>
          <w:color w:val="2B2B2B"/>
          <w:sz w:val="22"/>
        </w:rPr>
        <w:t>, exactamente lo contrario de lo que el documento afirma tres veces (pp. 78, 86, 130).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La presentación sobreafirma la seguridad.</w:t>
      </w:r>
      <w:r>
        <w:rPr>
          <w:rFonts w:ascii="Calibri" w:hAnsi="Calibri"/>
          <w:b w:val="0"/>
          <w:color w:val="2B2B2B"/>
          <w:sz w:val="22"/>
        </w:rPr>
        <w:t xml:space="preserve"> Diapositiva 7: «Implementación de… cifrado de grado militar (AES-256)»; diapositiva 10: «se verificó… integridad con cifrado AES-256». La Tabla 14 dice «representado en prototipo; integración real proyectada» y «verificación real pendiente» (p. 105). Es la contradicción más citable entre los dos entregables.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El enfoque mixto queda a medias.</w:t>
      </w:r>
      <w:r>
        <w:rPr>
          <w:rFonts w:ascii="Calibri" w:hAnsi="Calibri"/>
          <w:b w:val="0"/>
          <w:color w:val="2B2B2B"/>
          <w:sz w:val="22"/>
        </w:rPr>
        <w:t xml:space="preserve"> La p. 71 justifica lo cuantitativo por «cuantificar tiempos exactos de respuesta </w:t>
      </w:r>
      <w:r>
        <w:rPr>
          <w:rFonts w:ascii="Calibri" w:hAnsi="Calibri"/>
          <w:b/>
          <w:color w:val="2B2B2B"/>
          <w:sz w:val="22"/>
        </w:rPr>
        <w:t>antes y después</w:t>
      </w:r>
      <w:r>
        <w:rPr>
          <w:rFonts w:ascii="Calibri" w:hAnsi="Calibri"/>
          <w:b w:val="0"/>
          <w:color w:val="2B2B2B"/>
          <w:sz w:val="22"/>
        </w:rPr>
        <w:t xml:space="preserve"> de la implementación»; no hay medición posterior: todos los valores de mejora son metas o proyecciones (pp. 24, 92, 113-114).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Quién calificó la matriz no está claro.</w:t>
      </w:r>
      <w:r>
        <w:rPr>
          <w:rFonts w:ascii="Calibri" w:hAnsi="Calibri"/>
          <w:b w:val="0"/>
          <w:color w:val="2B2B2B"/>
          <w:sz w:val="22"/>
        </w:rPr>
        <w:t xml:space="preserve"> La p. 72 dice que la calificación «fue asignada por el equipo investigador a partir de la observación directa»; la Tabla 3 se titula «Calificación de resultados de </w:t>
      </w:r>
      <w:r>
        <w:rPr>
          <w:rFonts w:ascii="Calibri" w:hAnsi="Calibri"/>
          <w:b/>
          <w:color w:val="2B2B2B"/>
          <w:sz w:val="22"/>
        </w:rPr>
        <w:t>la encuesta</w:t>
      </w:r>
      <w:r>
        <w:rPr>
          <w:rFonts w:ascii="Calibri" w:hAnsi="Calibri"/>
          <w:b w:val="0"/>
          <w:color w:val="2B2B2B"/>
          <w:sz w:val="22"/>
        </w:rPr>
        <w:t xml:space="preserve"> diagnóstica» y su nota dice «se realizó una calificación de cada una de las preguntas realizadas en la encuesta» (pp. 79-80). Como el 1,9/5 es la base empírica de todo el trabajo, la ambigüedad pesa.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La misma matriz se describe con 3 dimensiones (p. 72) y con 6 (p. 79).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Dato del parque tecnológico contradictorio:</w:t>
      </w:r>
      <w:r>
        <w:rPr>
          <w:rFonts w:ascii="Calibri" w:hAnsi="Calibri"/>
          <w:b w:val="0"/>
          <w:color w:val="2B2B2B"/>
          <w:sz w:val="22"/>
        </w:rPr>
        <w:t xml:space="preserve"> Tabla 3, «Recursos tecnológicos: 3 — Dos computadores disponibles» (p. 80) frente a «según el diagnóstico del ACA 1: ocho equipos de escritorio con Windows» (p. 90).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Restos de plantilla y evidencias vacías en el protocolo de pruebas.</w:t>
      </w:r>
      <w:r>
        <w:rPr>
          <w:rFonts w:ascii="Calibri" w:hAnsi="Calibri"/>
          <w:b w:val="0"/>
          <w:color w:val="2B2B2B"/>
          <w:sz w:val="22"/>
        </w:rPr>
        <w:t xml:space="preserve"> CP-01 dice en el campo Evidencia: «</w:t>
      </w:r>
      <w:r>
        <w:rPr>
          <w:rFonts w:ascii="Calibri" w:hAnsi="Calibri"/>
          <w:b/>
          <w:color w:val="2B2B2B"/>
          <w:sz w:val="22"/>
        </w:rPr>
        <w:t>Insertar aquí la captura correspondiente</w:t>
      </w:r>
      <w:r>
        <w:rPr>
          <w:rFonts w:ascii="Calibri" w:hAnsi="Calibri"/>
          <w:b w:val="0"/>
          <w:color w:val="2B2B2B"/>
          <w:sz w:val="22"/>
        </w:rPr>
        <w:t>»; CP-02, CP-03, CP-04 y CP-06 tienen el campo Evidencia en blanco (pp. 109-110).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Bibliografía con marcadores «por verificar» sobre fuentes que sí se citan en el cuerpo.</w:t>
      </w:r>
      <w:r>
        <w:rPr>
          <w:rFonts w:ascii="Calibri" w:hAnsi="Calibri"/>
          <w:b w:val="0"/>
          <w:color w:val="2B2B2B"/>
          <w:sz w:val="22"/>
        </w:rPr>
        <w:t xml:space="preserve"> «Zapata, C. A., &amp; Castrillón. (2020). [Título… por verificar]. [Datos de publicación por verificar]» (p. 140), citada como respaldo en pp. 15, 18 y 42; y «DANE (2024). [Título del informe estadístico — por verificar]» (p. 138), citada en pp. 14, 17, 18, 21 y 22. La entrada de Jaramillo Sánchez (2024) queda truncada sin datos de publicación (p. 139).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Citas del texto sin entrada en la bibliografía:</w:t>
      </w:r>
      <w:r>
        <w:rPr>
          <w:rFonts w:ascii="Calibri" w:hAnsi="Calibri"/>
          <w:b w:val="0"/>
          <w:color w:val="2B2B2B"/>
          <w:sz w:val="22"/>
        </w:rPr>
        <w:t xml:space="preserve"> «Contraloría General de la República, 2024» (pp. 14, 17, 18, 21), «AGN, 2024» y «MinTIC, 2024» no aparecen en la lista de referencias (pp. 137-140); además el texto cita «CCSDS, 2012» (p. 67) y la lista registra CCSDS 2024 (p. 138), y hay dos entradas duplicadas de PREMIS y dos de ISO 27001 (pp. 139-140).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No hay apartado de limitaciones del estudio.</w:t>
      </w:r>
      <w:r>
        <w:rPr>
          <w:rFonts w:ascii="Calibri" w:hAnsi="Calibri"/>
          <w:b w:val="0"/>
          <w:color w:val="2B2B2B"/>
          <w:sz w:val="22"/>
        </w:rPr>
        <w:t xml:space="preserve"> La sección 5 se titula «Alcances y Limitaciones» pero solo contiene alcance y delimitaciones (pp. 23-32). Faltan las limitaciones de los resultados (una sola dependencia, 4 informantes, prototipo en laboratorio, ausencia de medición post).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La delimitación institucional se contradice:</w:t>
      </w:r>
      <w:r>
        <w:rPr>
          <w:rFonts w:ascii="Calibri" w:hAnsi="Calibri"/>
          <w:b w:val="0"/>
          <w:color w:val="2B2B2B"/>
          <w:sz w:val="22"/>
        </w:rPr>
        <w:t xml:space="preserve"> dentro de «No incluye» aparece «Archivo municipal correspondiente al término 2024» (p. 29), que es justamente el objeto del proyecto.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No se declara similitud (Turnitin) ni uso de herramientas de IA generativa;</w:t>
      </w:r>
      <w:r>
        <w:rPr>
          <w:rFonts w:ascii="Calibri" w:hAnsi="Calibri"/>
          <w:b w:val="0"/>
          <w:color w:val="2B2B2B"/>
          <w:sz w:val="22"/>
        </w:rPr>
        <w:t xml:space="preserve"> tampoco hay presupuesto ni costeo del despliegue, pese a las 28 semanas de cronograma (p. 96) y a las recomendaciones de nube y deshumidificación (pp. 135-136).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Conclusiones más fuertes que la evidencia:</w:t>
      </w:r>
      <w:r>
        <w:rPr>
          <w:rFonts w:ascii="Calibri" w:hAnsi="Calibri"/>
          <w:b w:val="0"/>
          <w:color w:val="2B2B2B"/>
          <w:sz w:val="22"/>
        </w:rPr>
        <w:t xml:space="preserve"> «la integración de registros de auditoría inmutables y el diseño de cifrado AES-256 resolvieron la obligación de trazabilidad y confidencialidad… </w:t>
      </w:r>
      <w:r>
        <w:rPr>
          <w:rFonts w:ascii="Calibri" w:hAnsi="Calibri"/>
          <w:b/>
          <w:color w:val="2B2B2B"/>
          <w:sz w:val="22"/>
        </w:rPr>
        <w:t>blindando jurídicamente</w:t>
      </w:r>
      <w:r>
        <w:rPr>
          <w:rFonts w:ascii="Calibri" w:hAnsi="Calibri"/>
          <w:b w:val="0"/>
          <w:color w:val="2B2B2B"/>
          <w:sz w:val="22"/>
        </w:rPr>
        <w:t xml:space="preserve"> a la Secretaría» (p. 134), cuando el cifrado no está integrado (p. 105) y la auditoría es parcial (p. 104).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Redacción del planteamiento con citas incrustadas como frases sueltas</w:t>
      </w:r>
      <w:r>
        <w:rPr>
          <w:rFonts w:ascii="Calibri" w:hAnsi="Calibri"/>
          <w:b w:val="0"/>
          <w:color w:val="2B2B2B"/>
          <w:sz w:val="22"/>
        </w:rPr>
        <w:t xml:space="preserve"> (pp. 15, 17, 18, 21-22): párrafos que terminan en un listado de autores y años sin verbo, y referencias completas insertadas dentro del cuerpo del texto (p. 15, p. 19).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PREGUNTAS ANTES de escuchar la sustentación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🎯 Las 3 que sí voy a preguntar</w:t>
      </w:r>
    </w:p>
    <w:p>
      <w:r>
        <w:rPr>
          <w:rFonts w:ascii="Calibri" w:hAnsi="Calibri"/>
          <w:b/>
          <w:color w:val="2B2B2B"/>
          <w:sz w:val="22"/>
        </w:rPr>
        <w:t>1. Estado real del producto (el cierre de la brecha documento-presentación).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«Su Tabla 14 distingue con mucho cuidado lo implementado y probado de lo que está solo representado en la interfaz, y ubica el cifrado AES-256 y el hash SHA-256 en el segundo grupo. La diapositiva 10 concluye, en cambio, que se verificó la integridad con cifrado AES-256. ¿Me pueden precisar qué quedó implementado y probado en el prototipo y qué está representado a nivel de interfaz?»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Por qué:</w:t>
      </w:r>
      <w:r>
        <w:rPr>
          <w:rFonts w:ascii="Calibri" w:hAnsi="Calibri"/>
          <w:b w:val="0"/>
          <w:color w:val="2B2B2B"/>
          <w:sz w:val="22"/>
        </w:rPr>
        <w:t xml:space="preserve"> Tabla 14, pp. 104-105 («Representado en prototipo… integración real proyectada», «verificación real pendiente») frente a la diapositiva 10 y a la diapositiva 7 («Implementación de… cifrado de grado militar»).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Qué la resuelve:</w:t>
      </w:r>
      <w:r>
        <w:rPr>
          <w:rFonts w:ascii="Calibri" w:hAnsi="Calibri"/>
          <w:b w:val="0"/>
          <w:color w:val="2B2B2B"/>
          <w:sz w:val="22"/>
        </w:rPr>
        <w:t xml:space="preserve"> que repitan su propia clasificación sin titubear —comunicación Flask-PostgreSQL, radicación con consecutivo, búsqueda con filtros, clasificación TRD, RBAC de 6 perfiles y persistencia por volumen están probados; cifrado, hash, OCR y MinIO están representados— y que reconozcan que la diapositiva se pasó de afirmación. Eso demuestra dominio y honestidad a la vez.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Qué la agrava:</w:t>
      </w:r>
      <w:r>
        <w:rPr>
          <w:rFonts w:ascii="Calibri" w:hAnsi="Calibri"/>
          <w:b w:val="0"/>
          <w:color w:val="2B2B2B"/>
          <w:sz w:val="22"/>
        </w:rPr>
        <w:t xml:space="preserve"> sostener que el cifrado está funcionando, o responder «sí, está implementado porque está diseñado». Confundir diseño con implementación en el criterio de seguridad es lo que el documento evitó y la presentación deshizo.</w:t>
      </w:r>
    </w:p>
    <w:p>
      <w:r>
        <w:rPr>
          <w:rFonts w:ascii="Calibri" w:hAnsi="Calibri"/>
          <w:b/>
          <w:color w:val="2B2B2B"/>
          <w:sz w:val="22"/>
        </w:rPr>
        <w:t>2. Tamaño y naturaleza de la muestra (objetivo 1).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«El documento precisa tres veces que el FUID se aplicó sobre una muestra y no sobre el censo de la vigencia 2024, mientras la diapositiva 4 dice muestra de tipo censal. ¿Cuántos expedientes o cuántos folios quedaron efectivamente inventariados, y con qué criterio se escogieron?»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Por qué:</w:t>
      </w:r>
      <w:r>
        <w:rPr>
          <w:rFonts w:ascii="Calibri" w:hAnsi="Calibri"/>
          <w:b w:val="0"/>
          <w:color w:val="2B2B2B"/>
          <w:sz w:val="22"/>
        </w:rPr>
        <w:t xml:space="preserve"> pp. 78, 86 y 130 declaran expresamente que no es censal y que la Tabla 2 es el diseño y aplicación piloto del instrumento; la diapositiva 4 afirma lo contrario. En ninguna página se da la cifra.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Qué la resuelve:</w:t>
      </w:r>
      <w:r>
        <w:rPr>
          <w:rFonts w:ascii="Calibri" w:hAnsi="Calibri"/>
          <w:b w:val="0"/>
          <w:color w:val="2B2B2B"/>
          <w:sz w:val="22"/>
        </w:rPr>
        <w:t xml:space="preserve"> una cifra concreta (número de expedientes, carpetas o folios) con el criterio de selección —frecuencia de consulta, riesgo de deterioro, valor legal, como anuncia la p. 27— y el reconocimiento de que «censal» en la diapositiva es un error de la diapositiva. A este nivel, una muestra pequeña bien delimitada es suficiente.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Qué la agrava:</w:t>
      </w:r>
      <w:r>
        <w:rPr>
          <w:rFonts w:ascii="Calibri" w:hAnsi="Calibri"/>
          <w:b w:val="0"/>
          <w:color w:val="2B2B2B"/>
          <w:sz w:val="22"/>
        </w:rPr>
        <w:t xml:space="preserve"> no tener el número, o defender que fue censal contradiciendo su propio documento.</w:t>
      </w:r>
    </w:p>
    <w:p>
      <w:r>
        <w:rPr>
          <w:rFonts w:ascii="Calibri" w:hAnsi="Calibri"/>
          <w:b/>
          <w:color w:val="2B2B2B"/>
          <w:sz w:val="22"/>
        </w:rPr>
        <w:t>3. Objetivo 4: verificación en entorno institucional.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«Su cuarto objetivo es verificar el prototipo en un entorno institucional controlado. La verificación documentada se hizo sobre un portátil personal, en localhost, y la implementación institucional aparece como proyectada. ¿Algún funcionario de la Secretaría usó el prototipo, y con qué datos: expedientes reales de 2024 o datos de prueba?»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Por qué:</w:t>
      </w:r>
      <w:r>
        <w:rPr>
          <w:rFonts w:ascii="Calibri" w:hAnsi="Calibri"/>
          <w:b w:val="0"/>
          <w:color w:val="2B2B2B"/>
          <w:sz w:val="22"/>
        </w:rPr>
        <w:t xml:space="preserve"> objetivo 4 (p. 20) frente a pp. 89-91 (simulación en equipo personal, </w:t>
      </w:r>
      <w:r>
        <w:rPr>
          <w:rFonts w:ascii="Consolas" w:hAnsi="Consolas"/>
          <w:color w:val="111111"/>
          <w:sz w:val="21"/>
        </w:rPr>
        <w:t>http://localhost:5000</w:t>
      </w:r>
      <w:r>
        <w:rPr>
          <w:rFonts w:ascii="Calibri" w:hAnsi="Calibri"/>
          <w:b w:val="0"/>
          <w:color w:val="2B2B2B"/>
          <w:sz w:val="22"/>
        </w:rPr>
        <w:t>), p. 105 («implementación institucional: proyectada a fase posterior»; «pruebas de usabilidad y de seguridad: pendientes de ejecución») y p. 112, redactada en futuro. La p. 27, en cambio, afirma que se desplegó el piloto y se capacitó al personal.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Qué la resuelve:</w:t>
      </w:r>
      <w:r>
        <w:rPr>
          <w:rFonts w:ascii="Calibri" w:hAnsi="Calibri"/>
          <w:b w:val="0"/>
          <w:color w:val="2B2B2B"/>
          <w:sz w:val="22"/>
        </w:rPr>
        <w:t xml:space="preserve"> decir con claridad que la verificación fue técnica y en laboratorio, que la validación con usuarios queda pendiente, y explicar qué datos cargaron (los radicados que aparecen —SF-2024-0004, SGDEA-2026-000128— parecen de prueba). Si además hubo alguna sesión con funcionarios, describirla: cuántos, cuándo, qué hicieron.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Qué la agrava:</w:t>
      </w:r>
      <w:r>
        <w:rPr>
          <w:rFonts w:ascii="Calibri" w:hAnsi="Calibri"/>
          <w:b w:val="0"/>
          <w:color w:val="2B2B2B"/>
          <w:sz w:val="22"/>
        </w:rPr>
        <w:t xml:space="preserve"> sostener el despliegue institucional y la capacitación de la p. 27 sin acta, lista de asistencia, captura o correo que lo respalde. Si dicen que cargaron expedientes reales, aparece de inmediato la pregunta de Ley 1581 y tratamiento de datos en un equipo personal.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Banco de reserva (por si el tiempo estira o el director cede turno)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Autoría de la calificación 1,9/5:</w:t>
      </w:r>
      <w:r>
        <w:rPr>
          <w:rFonts w:ascii="Calibri" w:hAnsi="Calibri"/>
          <w:b w:val="0"/>
          <w:color w:val="2B2B2B"/>
          <w:sz w:val="22"/>
        </w:rPr>
        <w:t xml:space="preserve"> ¿la asignó el equipo por observación directa (p. 72) o se derivó de las respuestas de los cuatro funcionarios (Tabla 3 y su nota, pp. 79-80)? ¿Y la matriz tiene 3 dimensiones o 6 (pp. 72 vs. 79)?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Parque tecnológico:</w:t>
      </w:r>
      <w:r>
        <w:rPr>
          <w:rFonts w:ascii="Calibri" w:hAnsi="Calibri"/>
          <w:b w:val="0"/>
          <w:color w:val="2B2B2B"/>
          <w:sz w:val="22"/>
        </w:rPr>
        <w:t xml:space="preserve"> ¿dos computadores (p. 80) u ocho equipos de escritorio (p. 90)? De ello depende la viabilidad del despliegue que recomiendan.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Enfoque mixto:</w:t>
      </w:r>
      <w:r>
        <w:rPr>
          <w:rFonts w:ascii="Calibri" w:hAnsi="Calibri"/>
          <w:b w:val="0"/>
          <w:color w:val="2B2B2B"/>
          <w:sz w:val="22"/>
        </w:rPr>
        <w:t xml:space="preserve"> la p. 71 lo justifica por medir tiempos «antes y después»; ¿existe alguna medición posterior, o todo el «después» es proyección (pp. 24, 92, 113)?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Digitalización:</w:t>
      </w:r>
      <w:r>
        <w:rPr>
          <w:rFonts w:ascii="Calibri" w:hAnsi="Calibri"/>
          <w:b w:val="0"/>
          <w:color w:val="2B2B2B"/>
          <w:sz w:val="22"/>
        </w:rPr>
        <w:t xml:space="preserve"> la meta era al menos 200 páginas (p. 24) y la p. 27 afirma que se digitalizó selectivamente; ¿cuántas páginas se digitalizaron y dónde están?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Evidencias de las pruebas:</w:t>
      </w:r>
      <w:r>
        <w:rPr>
          <w:rFonts w:ascii="Calibri" w:hAnsi="Calibri"/>
          <w:b w:val="0"/>
          <w:color w:val="2B2B2B"/>
          <w:sz w:val="22"/>
        </w:rPr>
        <w:t xml:space="preserve"> CP-01 conserva la instrucción «Insertar aquí la captura correspondiente» y CP-02, 03, 04 y 06 tienen el campo Evidencia vacío (pp. 109-110). ¿Existen esas capturas?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Bibliografía:</w:t>
      </w:r>
      <w:r>
        <w:rPr>
          <w:rFonts w:ascii="Calibri" w:hAnsi="Calibri"/>
          <w:b w:val="0"/>
          <w:color w:val="2B2B2B"/>
          <w:sz w:val="22"/>
        </w:rPr>
        <w:t xml:space="preserve"> ¿cuál es la fuente de Zapata y Castrillón (2020), citada en pp. 15, 18 y 42 y registrada como «por verificar» (p. 140)? Igual para el informe del DANE 2024 (p. 138) y para Contraloría 2024, que no tiene entrada.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Sostenibilidad:</w:t>
      </w:r>
      <w:r>
        <w:rPr>
          <w:rFonts w:ascii="Calibri" w:hAnsi="Calibri"/>
          <w:b w:val="0"/>
          <w:color w:val="2B2B2B"/>
          <w:sz w:val="22"/>
        </w:rPr>
        <w:t xml:space="preserve"> con dos computadores, sin área de TI y sin presupuesto en el documento, ¿quién administra el SGDEA, hace los respaldos y responde por el 3-2-1 que recomiendan (p. 136)?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Alertas del DRS:</w:t>
      </w:r>
      <w:r>
        <w:rPr>
          <w:rFonts w:ascii="Calibri" w:hAnsi="Calibri"/>
          <w:b w:val="0"/>
          <w:color w:val="2B2B2B"/>
          <w:sz w:val="22"/>
        </w:rPr>
        <w:t xml:space="preserve"> están «diseñadas, no implementadas» (p. 105) y son el corazón de la retención documental. ¿Qué faltó para ejecutar la regla de disposición?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Delimitación contradictoria:</w:t>
      </w:r>
      <w:r>
        <w:rPr>
          <w:rFonts w:ascii="Calibri" w:hAnsi="Calibri"/>
          <w:b w:val="0"/>
          <w:color w:val="2B2B2B"/>
          <w:sz w:val="22"/>
        </w:rPr>
        <w:t xml:space="preserve"> ¿por qué el «No incluye» excluye el archivo de la vigencia 2024 (p. 29), que es el objeto del proyecto?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Versiones declaradas del entorno:</w:t>
      </w:r>
      <w:r>
        <w:rPr>
          <w:rFonts w:ascii="Calibri" w:hAnsi="Calibri"/>
          <w:b w:val="0"/>
          <w:color w:val="2B2B2B"/>
          <w:sz w:val="22"/>
        </w:rPr>
        <w:t xml:space="preserve"> la p. 90 registra Docker Compose v5.3.0; ¿pueden confirmar el número de versión frente a la salida real de </w:t>
      </w:r>
      <w:r>
        <w:rPr>
          <w:rFonts w:ascii="Consolas" w:hAnsi="Consolas"/>
          <w:color w:val="111111"/>
          <w:sz w:val="21"/>
        </w:rPr>
        <w:t>docker compose version</w:t>
      </w:r>
      <w:r>
        <w:rPr>
          <w:rFonts w:ascii="Calibri" w:hAnsi="Calibri"/>
          <w:b w:val="0"/>
          <w:color w:val="2B2B2B"/>
          <w:sz w:val="22"/>
        </w:rPr>
        <w:t>?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PREGUNTAS DESPUÉS — condicionales, para marcar en caliente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el video de la diapositiva 9 no corre o no lo alcanzan a mostrar</w:t>
      </w:r>
      <w:r>
        <w:rPr>
          <w:rFonts w:ascii="Calibri" w:hAnsi="Calibri"/>
          <w:b w:val="0"/>
          <w:color w:val="2B2B2B"/>
          <w:sz w:val="22"/>
        </w:rPr>
        <w:t xml:space="preserve"> → pedir que describan, sin video, el flujo completo de un documento: quién lo radica, cómo se le asigna serie, quién puede verlo y qué queda en la auditoría. Si describen el flujo con soltura, el video sobraba.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el video muestra el prototipo funcionando</w:t>
      </w:r>
      <w:r>
        <w:rPr>
          <w:rFonts w:ascii="Calibri" w:hAnsi="Calibri"/>
          <w:b w:val="0"/>
          <w:color w:val="2B2B2B"/>
          <w:sz w:val="22"/>
        </w:rPr>
        <w:t xml:space="preserve"> → preguntar por una pantalla específica: «en el módulo de respaldos que acabo de ver, ¿ese respaldo cifrado se ejecuta o es la vista de la función proyectada?» (p. 105 dice que es la segunda opción).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dicen que el sistema «está implementado en la Alcaldía»</w:t>
      </w:r>
      <w:r>
        <w:rPr>
          <w:rFonts w:ascii="Calibri" w:hAnsi="Calibri"/>
          <w:b w:val="0"/>
          <w:color w:val="2B2B2B"/>
          <w:sz w:val="22"/>
        </w:rPr>
        <w:t xml:space="preserve"> → pedir la fecha, el equipo donde quedó instalado y quién lo administra hoy; contrastar con p. 105.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presentan la reducción de 45-90 minutos a menos de 5 como resultado obtenido</w:t>
      </w:r>
      <w:r>
        <w:rPr>
          <w:rFonts w:ascii="Calibri" w:hAnsi="Calibri"/>
          <w:b w:val="0"/>
          <w:color w:val="2B2B2B"/>
          <w:sz w:val="22"/>
        </w:rPr>
        <w:t xml:space="preserve"> → preguntar con qué medición: cuántas búsquedas, con qué expedientes, quién cronometró (p. 92 la declara «meta proyectada»).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afirman que capacitaron al personal</w:t>
      </w:r>
      <w:r>
        <w:rPr>
          <w:rFonts w:ascii="Calibri" w:hAnsi="Calibri"/>
          <w:b w:val="0"/>
          <w:color w:val="2B2B2B"/>
          <w:sz w:val="22"/>
        </w:rPr>
        <w:t xml:space="preserve"> → preguntar cuántos funcionarios, cuándo, qué contenidos y si hay acta o lista de asistencia (p. 27 lo afirma; pp. 146, 153, 166 sugieren que la capacitación seguía siendo una expectativa).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dicen «muestra censal» en la exposición</w:t>
      </w:r>
      <w:r>
        <w:rPr>
          <w:rFonts w:ascii="Calibri" w:hAnsi="Calibri"/>
          <w:b w:val="0"/>
          <w:color w:val="2B2B2B"/>
          <w:sz w:val="22"/>
        </w:rPr>
        <w:t xml:space="preserve"> → pedirles que conciliar esa afirmación con las pp. 78, 86 y 130 de su propio documento; darles la salida honesta: «¿fue una muestra o el censo?».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el diagnóstico se presenta como el resultado principal y el prototipo queda de adorno</w:t>
      </w:r>
      <w:r>
        <w:rPr>
          <w:rFonts w:ascii="Calibri" w:hAnsi="Calibri"/>
          <w:b w:val="0"/>
          <w:color w:val="2B2B2B"/>
          <w:sz w:val="22"/>
        </w:rPr>
        <w:t xml:space="preserve"> → pedir que expliquen qué decisión de diseño del SGDEA salió directamente de un hallazgo del diagnóstico; el documento tiene la respuesta buena (los cuatro hallazgos críticos que originan el RBAC, p. 95).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no mencionan una sola limitación</w:t>
      </w:r>
      <w:r>
        <w:rPr>
          <w:rFonts w:ascii="Calibri" w:hAnsi="Calibri"/>
          <w:b w:val="0"/>
          <w:color w:val="2B2B2B"/>
          <w:sz w:val="22"/>
        </w:rPr>
        <w:t xml:space="preserve"> → preguntar directamente cuáles son los tres límites del trabajo y qué no se puede concluir de él; es el hueco de la sección 5 (pp. 23-32).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solo habla uno o dos integrantes</w:t>
      </w:r>
      <w:r>
        <w:rPr>
          <w:rFonts w:ascii="Calibri" w:hAnsi="Calibri"/>
          <w:b w:val="0"/>
          <w:color w:val="2B2B2B"/>
          <w:sz w:val="22"/>
        </w:rPr>
        <w:t xml:space="preserve"> → pedir explícitamente a quien no habló que explique su parte: al que sostenga la parte archivística, cómo se construyó el DCF de tres niveles (p. 88); al de la parte técnica, cómo se probó la persistencia (CP-01, p. 109). Son cuatro integrantes: conviene oír al menos a tres.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atribuyen a la plataforma el «blindaje jurídico» de la Secretaría (p. 134)</w:t>
      </w:r>
      <w:r>
        <w:rPr>
          <w:rFonts w:ascii="Calibri" w:hAnsi="Calibri"/>
          <w:b w:val="0"/>
          <w:color w:val="2B2B2B"/>
          <w:sz w:val="22"/>
        </w:rPr>
        <w:t xml:space="preserve"> → preguntar qué obligación normativa concreta queda cubierta hoy y cuál solo quedará cubierta cuando se implemente, en particular frente a la Ley 1581 de 2012, que el propio diagnóstico calificó en 1/5 (p. 80) y cuyo protocolo se recomienda redactar (p. 136).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el director ya preguntó por la muestra o por el estado del prototipo</w:t>
      </w:r>
      <w:r>
        <w:rPr>
          <w:rFonts w:ascii="Calibri" w:hAnsi="Calibri"/>
          <w:b w:val="0"/>
          <w:color w:val="2B2B2B"/>
          <w:sz w:val="22"/>
        </w:rPr>
        <w:t xml:space="preserve"> → soltar mi pregunta 2 o 1 y usar el tiempo en la reserva 4 (quién calificó el 1,9/5) o en la reserva 9 (bibliografía «por verificar»).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Si se pasan de tiempo y saltan resultados</w:t>
      </w:r>
      <w:r>
        <w:rPr>
          <w:rFonts w:ascii="Calibri" w:hAnsi="Calibri"/>
          <w:b w:val="0"/>
          <w:color w:val="2B2B2B"/>
          <w:sz w:val="22"/>
        </w:rPr>
        <w:t xml:space="preserve"> → ir directo al objetivo 4: «¿qué se verificó, dónde y con quién?».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Umbrales de nota (escala 0,1–5,0, cuatro criterios del jurado)</w:t>
      </w:r>
    </w:p>
    <w:p>
      <w:r>
        <w:rPr>
          <w:rFonts w:ascii="Calibri" w:hAnsi="Calibri"/>
          <w:b w:val="0"/>
          <w:color w:val="2B2B2B"/>
          <w:sz w:val="22"/>
        </w:rPr>
        <w:t xml:space="preserve">Criterios: </w:t>
      </w:r>
      <w:r>
        <w:rPr>
          <w:rFonts w:ascii="Calibri" w:hAnsi="Calibri"/>
          <w:b/>
          <w:color w:val="2B2B2B"/>
          <w:sz w:val="22"/>
        </w:rPr>
        <w:t>dominio del tema · claridad · coherencia del documento · capacidad de defensa.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Para 4,6 o más</w:t>
      </w:r>
      <w:r>
        <w:rPr>
          <w:rFonts w:ascii="Calibri" w:hAnsi="Calibri"/>
          <w:b w:val="0"/>
          <w:color w:val="2B2B2B"/>
          <w:sz w:val="22"/>
        </w:rPr>
        <w:t xml:space="preserve"> necesito: (a) que sostengan en vivo la distinción de la Tabla 14 sin inflar el producto, corrigiendo ellos mismos la diapositiva del AES-256; (b) una cifra concreta de la muestra del FUID con su criterio de selección; (c) que reconozcan sin evasivas que la verificación fue de laboratorio y que la implementación institucional está pendiente; y (d) que hablen al menos tres de los cuatro integrantes con dominio de su parte. Sin (a) no hay 4,6.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4,0 – 4,4</w:t>
      </w:r>
      <w:r>
        <w:rPr>
          <w:rFonts w:ascii="Calibri" w:hAnsi="Calibri"/>
          <w:b w:val="0"/>
          <w:color w:val="2B2B2B"/>
          <w:sz w:val="22"/>
        </w:rPr>
        <w:t xml:space="preserve"> si: explican bien el diagnóstico y el prototipo, pero no cuantifican la muestra o dejan sin conciliar la contradicción documento/presentación sobre el cifrado o sobre lo censal. Es el escenario más probable dado el estado de los dos entregables. *Recordatorio institucional: una nota de 4,4 en un solo criterio bloquea la meritoria del grupo.*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3,6 – 3,9</w:t>
      </w:r>
      <w:r>
        <w:rPr>
          <w:rFonts w:ascii="Calibri" w:hAnsi="Calibri"/>
          <w:b w:val="0"/>
          <w:color w:val="2B2B2B"/>
          <w:sz w:val="22"/>
        </w:rPr>
        <w:t xml:space="preserve"> si: defienden como resultados obtenidos las cifras que su propio documento declara proyectadas (pp. 24, 92, 113), o si sostienen el despliegue y la capacitación de la p. 27 sin poder describirlos.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3,0 – 3,5</w:t>
      </w:r>
      <w:r>
        <w:rPr>
          <w:rFonts w:ascii="Calibri" w:hAnsi="Calibri"/>
          <w:b w:val="0"/>
          <w:color w:val="2B2B2B"/>
          <w:sz w:val="22"/>
        </w:rPr>
        <w:t xml:space="preserve"> si: solo lee diapositivas quien expone, no puede explicar cómo funciona el prototipo por dentro (DCF, DRS, RBAC, persistencia) y responde a las tres preguntas con generalidades.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Por debajo de 3,0</w:t>
      </w:r>
      <w:r>
        <w:rPr>
          <w:rFonts w:ascii="Calibri" w:hAnsi="Calibri"/>
          <w:b w:val="0"/>
          <w:color w:val="2B2B2B"/>
          <w:sz w:val="22"/>
        </w:rPr>
        <w:t xml:space="preserve"> solo si aparece algo que hoy no tengo indicio de que exista: que no puedan mostrar ni describir el prototipo, o que la evidencia presentada no corresponda al trabajo.</w:t>
      </w:r>
    </w:p>
    <w:p>
      <w:r>
        <w:rPr>
          <w:rFonts w:ascii="Calibri" w:hAnsi="Calibri"/>
          <w:b/>
          <w:color w:val="2B2B2B"/>
          <w:sz w:val="22"/>
        </w:rPr>
        <w:t>Encuadre justo:</w:t>
      </w:r>
      <w:r>
        <w:rPr>
          <w:rFonts w:ascii="Calibri" w:hAnsi="Calibri"/>
          <w:b w:val="0"/>
          <w:color w:val="2B2B2B"/>
          <w:sz w:val="22"/>
        </w:rPr>
        <w:t xml:space="preserve"> es una especialización profesionalizante. No corresponde exigir muestra estadísticamente representativa, validación externa de la matriz de diagnóstico ni despliegue en producción. Sí corresponde exigir que el título y el objetivo general se ajusten a lo entregado, que la muestra se declare, y que la presentación no afirme más que el documento. La Tabla 14 muestra que este grupo sabe hacer exactamente eso; la presentación es donde se les fue de las manos.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Observaciones administrativas (no académicas)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Equipo de 4 integrantes.</w:t>
      </w:r>
      <w:r>
        <w:rPr>
          <w:rFonts w:ascii="Calibri" w:hAnsi="Calibri"/>
          <w:b w:val="0"/>
          <w:color w:val="2B2B2B"/>
          <w:sz w:val="22"/>
        </w:rPr>
        <w:t xml:space="preserve"> El tope en Proyecto I/II de especialización es de 3. Es una observación para la Dirección del Programa,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un criterio para bajar la nota. Consecuencia práctica en sala: con 20 minutos y cuatro personas, conviene pedir de entrada que expongan máximo dos y responder preguntas los cuatro.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Correos cruzados en el cronograma.</w:t>
      </w:r>
      <w:r>
        <w:rPr>
          <w:rFonts w:ascii="Calibri" w:hAnsi="Calibri"/>
          <w:b w:val="0"/>
          <w:color w:val="2B2B2B"/>
          <w:sz w:val="22"/>
        </w:rPr>
        <w:t xml:space="preserve"> A Eliana Naranjo Cortés le figura el correo de Cristian Forero y a Cristian David Forero Álvarez el de Eliana Naranjo. Reportar a la Dirección para que no se envíe la retroalimentación a la persona equivocada.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Firmante ausente en un anexo.</w:t>
      </w:r>
      <w:r>
        <w:rPr>
          <w:rFonts w:ascii="Calibri" w:hAnsi="Calibri"/>
          <w:b w:val="0"/>
          <w:color w:val="2B2B2B"/>
          <w:sz w:val="22"/>
        </w:rPr>
        <w:t xml:space="preserve"> La declaración de originalidad (p. 12) lleva los cuatro nombres, pero el cierre del instrumento de entrevistas (p. 167) firma como «Equipo de investigación» solo a tres. No es un hallazgo académico; sí es la razón práctica para pedir que hable más de un integrante.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Sin declaración de similitud (Turnitin) ni de uso de IA generativa</w:t>
      </w:r>
      <w:r>
        <w:rPr>
          <w:rFonts w:ascii="Calibri" w:hAnsi="Calibri"/>
          <w:b w:val="0"/>
          <w:color w:val="2B2B2B"/>
          <w:sz w:val="22"/>
        </w:rPr>
        <w:t xml:space="preserve"> en las 169 páginas. Si el programa lo exige en la entrega final, es un pendiente de forma que se resuelve con el metodólogo, no en la sala.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Logística de la presentación.</w:t>
      </w:r>
      <w:r>
        <w:rPr>
          <w:rFonts w:ascii="Calibri" w:hAnsi="Calibri"/>
          <w:b w:val="0"/>
          <w:color w:val="2B2B2B"/>
          <w:sz w:val="22"/>
        </w:rPr>
        <w:t xml:space="preserve"> El </w:t>
      </w:r>
      <w:r>
        <w:rPr>
          <w:rFonts w:ascii="Consolas" w:hAnsi="Consolas"/>
          <w:color w:val="111111"/>
          <w:sz w:val="21"/>
        </w:rPr>
        <w:t>.pptx</w:t>
      </w:r>
      <w:r>
        <w:rPr>
          <w:rFonts w:ascii="Calibri" w:hAnsi="Calibri"/>
          <w:b w:val="0"/>
          <w:color w:val="2B2B2B"/>
          <w:sz w:val="22"/>
        </w:rPr>
        <w:t xml:space="preserve"> pesa ~52 MB y la diapositiva 9 depende de un video («VER VIDEO»). Vale avisar al grupo antes de las 6:40 p. m. de que pruebe reproducción y audio; si el video falla, se les va la mitad del tiempo.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Forma y ortografía</w:t>
      </w:r>
      <w:r>
        <w:rPr>
          <w:rFonts w:ascii="Calibri" w:hAnsi="Calibri"/>
          <w:b w:val="0"/>
          <w:color w:val="2B2B2B"/>
          <w:sz w:val="22"/>
        </w:rPr>
        <w:t xml:space="preserve"> (bloque breve, no se pregunta en sala): «SECRETARIA» sin tilde en el título del trabajo y de la diapositiva 1; el nombre de una integrante aparece como «Nahtaly» en el cronograma y «Nathaly» en el documento; «Grafica 8» sin tilde y </w:t>
      </w:r>
      <w:r>
        <w:rPr>
          <w:rFonts w:ascii="Calibri" w:hAnsi="Calibri"/>
          <w:b/>
          <w:color w:val="2B2B2B"/>
          <w:sz w:val="22"/>
        </w:rPr>
        <w:t>dos gráficas numeradas 8</w:t>
      </w:r>
      <w:r>
        <w:rPr>
          <w:rFonts w:ascii="Calibri" w:hAnsi="Calibri"/>
          <w:b w:val="0"/>
          <w:color w:val="2B2B2B"/>
          <w:sz w:val="22"/>
        </w:rPr>
        <w:t xml:space="preserve"> (pp. 98 y 113); en la p. 76 el texto remite a «(Tabla 2)» cuando la tabla que sigue, titulada en la p. 77, es la Tabla 1; la diapositiva 6 reporta una dimensión en 1,8 mientras la p. 82 la calcula en 1,75; y quedan restos de plantilla en la diapositiva 1 (notas «Usar máximo 5-6 líneas por diapositiva») y en el campo de evidencia de CP-01 (p. 109).</w:t>
      </w:r>
    </w:p>
    <w:p>
      <w:r>
        <w:rPr>
          <w:rFonts w:ascii="Calibri" w:hAnsi="Calibri"/>
          <w:b w:val="0"/>
          <w:color w:val="2B2B2B"/>
          <w:sz w:val="22"/>
        </w:rPr>
        <w:t>*Ficha preparada por Julian Andrés Castaño Espinosa (Jurado 2) el 15 de agosto de 2026. Todas las afirmaciones sobre el proyecto están referidas a la página del documento del grupo; las páginas 27, 78, 86, 90 y 105 se reverificaron una a una antes de cerrar la ficha.*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