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Índice y comparación — propuestas de anteproyecto (Fase 1 y Fase 2)</w:t>
      </w:r>
    </w:p>
    <w:p>
      <w:r>
        <w:rPr>
          <w:rFonts w:ascii="Calibri" w:hAnsi="Calibri"/>
          <w:b/>
          <w:color w:val="2B2B2B"/>
          <w:sz w:val="22"/>
        </w:rPr>
        <w:t>Convocatoria interna CUN 2026 (Fase II)</w:t>
      </w:r>
      <w:r>
        <w:rPr>
          <w:rFonts w:ascii="Calibri" w:hAnsi="Calibri"/>
          <w:b w:val="0"/>
          <w:color w:val="2B2B2B"/>
          <w:sz w:val="22"/>
        </w:rPr>
        <w:t xml:space="preserve"> · Formato de referencia INV-FO03 (Anexo 2) · Investigador</w:t>
      </w:r>
    </w:p>
    <w:p>
      <w:r>
        <w:rPr>
          <w:rFonts w:ascii="Calibri" w:hAnsi="Calibri"/>
          <w:b w:val="0"/>
          <w:color w:val="2B2B2B"/>
          <w:sz w:val="22"/>
        </w:rPr>
        <w:t>principal: Julian Andres Castaño, docente de Ingeniería de Sistemas / Especialización en</w:t>
      </w:r>
    </w:p>
    <w:p>
      <w:r>
        <w:rPr>
          <w:rFonts w:ascii="Calibri" w:hAnsi="Calibri"/>
          <w:b w:val="0"/>
          <w:color w:val="2B2B2B"/>
          <w:sz w:val="22"/>
        </w:rPr>
        <w:t xml:space="preserve">Inteligencia Artificial · </w:t>
      </w:r>
      <w:r>
        <w:rPr>
          <w:rFonts w:ascii="Consolas" w:hAnsi="Consolas"/>
          <w:color w:val="111111"/>
          <w:sz w:val="21"/>
        </w:rPr>
        <w:t>julian_castanoe@cun.edu.co</w:t>
      </w:r>
      <w:r>
        <w:rPr>
          <w:rFonts w:ascii="Calibri" w:hAnsi="Calibri"/>
          <w:b w:val="0"/>
          <w:color w:val="2B2B2B"/>
          <w:sz w:val="22"/>
        </w:rPr>
        <w:t xml:space="preserve"> · Escuela de Ingenierías ⇒ norma de citación</w:t>
      </w:r>
    </w:p>
    <w:p>
      <w:r>
        <w:rPr>
          <w:rFonts w:ascii="Calibri" w:hAnsi="Calibri"/>
          <w:b/>
          <w:color w:val="2B2B2B"/>
          <w:sz w:val="22"/>
        </w:rPr>
        <w:t>IEEE</w:t>
      </w:r>
      <w:r>
        <w:rPr>
          <w:rFonts w:ascii="Calibri" w:hAnsi="Calibri"/>
          <w:b w:val="0"/>
          <w:color w:val="2B2B2B"/>
          <w:sz w:val="22"/>
        </w:rPr>
        <w:t>.</w:t>
      </w:r>
    </w:p>
    <w:p>
      <w:r>
        <w:rPr>
          <w:rFonts w:ascii="Calibri" w:hAnsi="Calibri"/>
          <w:b w:val="0"/>
          <w:color w:val="2B2B2B"/>
          <w:sz w:val="22"/>
        </w:rPr>
        <w:t>Este índice cubre dos capas de trabajo sobre las mismas cinco ideas: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Fase 1 — ideación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Propuesta 1..5 - *.md</w:t>
      </w:r>
      <w:r>
        <w:rPr>
          <w:rFonts w:ascii="Calibri" w:hAnsi="Calibri"/>
          <w:b w:val="0"/>
          <w:color w:val="2B2B2B"/>
          <w:sz w:val="22"/>
        </w:rPr>
        <w:t>): resumen ejecutivo para decidir, no el formulario.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Fase 2 — anteproyecto completo</w:t>
      </w:r>
      <w:r>
        <w:rPr>
          <w:rFonts w:ascii="Calibri" w:hAnsi="Calibri"/>
          <w:b w:val="0"/>
          <w:color w:val="2B2B2B"/>
          <w:sz w:val="22"/>
        </w:rPr>
        <w:t xml:space="preserve"> (</w:t>
      </w:r>
      <w:r>
        <w:rPr>
          <w:rFonts w:ascii="Consolas" w:hAnsi="Consolas"/>
          <w:color w:val="111111"/>
          <w:sz w:val="21"/>
        </w:rPr>
        <w:t>Anteproyecto - *.md</w:t>
      </w:r>
      <w:r>
        <w:rPr>
          <w:rFonts w:ascii="Calibri" w:hAnsi="Calibri"/>
          <w:b w:val="0"/>
          <w:color w:val="2B2B2B"/>
          <w:sz w:val="22"/>
        </w:rPr>
        <w:t>): el INV-FO03 diligenciado de punta a</w:t>
      </w:r>
    </w:p>
    <w:p>
      <w:r>
        <w:rPr>
          <w:rFonts w:ascii="Calibri" w:hAnsi="Calibri"/>
          <w:b w:val="0"/>
          <w:color w:val="2B2B2B"/>
          <w:sz w:val="22"/>
        </w:rPr>
        <w:t>punta, con marco teórico de 1.500–2.000 palabras, metodología, presupuesto que cierra exacto,</w:t>
      </w:r>
    </w:p>
    <w:p>
      <w:r>
        <w:rPr>
          <w:rFonts w:ascii="Calibri" w:hAnsi="Calibri"/>
          <w:b w:val="0"/>
          <w:color w:val="2B2B2B"/>
          <w:sz w:val="22"/>
        </w:rPr>
        <w:t>estructura de objetivos y actividades con numeración consecutiva, cronograma en semanas relativas</w:t>
      </w:r>
    </w:p>
    <w:p>
      <w:r>
        <w:rPr>
          <w:rFonts w:ascii="Calibri" w:hAnsi="Calibri"/>
          <w:b w:val="0"/>
          <w:color w:val="2B2B2B"/>
          <w:sz w:val="22"/>
        </w:rPr>
        <w:t xml:space="preserve">y aspectos éticos. </w:t>
      </w:r>
      <w:r>
        <w:rPr>
          <w:rFonts w:ascii="Calibri" w:hAnsi="Calibri"/>
          <w:b/>
          <w:color w:val="2B2B2B"/>
          <w:sz w:val="22"/>
        </w:rPr>
        <w:t>Las cinco llegaron a Fase 2.</w:t>
      </w:r>
      <w:r>
        <w:rPr>
          <w:rFonts w:ascii="Calibri" w:hAnsi="Calibri"/>
          <w:b w:val="0"/>
          <w:color w:val="2B2B2B"/>
          <w:sz w:val="22"/>
        </w:rPr>
        <w:t xml:space="preserve"> No hubo que elegir una.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Hechos de elegibilidad — versión corregida</w:t>
      </w:r>
    </w:p>
    <w:p>
      <w:pPr>
        <w:ind w:left="432"/>
        <w:shd w:val="clear" w:fill="E8F5EC"/>
      </w:pPr>
      <w:r>
        <w:rPr>
          <w:rFonts w:ascii="Calibri" w:hAnsi="Calibri"/>
          <w:b/>
          <w:i/>
          <w:color w:val="2B2B2B"/>
          <w:sz w:val="21"/>
        </w:rPr>
        <w:t>Esta sección corrige lo que decía la versión anterior de este índice.</w:t>
      </w:r>
      <w:r>
        <w:rPr>
          <w:rFonts w:ascii="Calibri" w:hAnsi="Calibri"/>
          <w:b w:val="0"/>
          <w:i/>
          <w:color w:val="2B2B2B"/>
          <w:sz w:val="21"/>
        </w:rPr>
        <w:t xml:space="preserve"> El texto anterior afirmaba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que la elegibilidad del investigador principal "no está verificada" y metía en la misma bolsa cuatro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requisitos que hoy tienen estados distintos. Dos de ellos ya están fijados como hechos y no deben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volver a presentarse como dudas.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Contrato de tiempo completo: CUMPLIDO.</w:t>
      </w:r>
      <w:r>
        <w:rPr>
          <w:rFonts w:ascii="Calibri" w:hAnsi="Calibri"/>
          <w:b w:val="0"/>
          <w:color w:val="2B2B2B"/>
          <w:sz w:val="22"/>
        </w:rPr>
        <w:t xml:space="preserve"> El investigador principal tiene vinculación activa de</w:t>
      </w:r>
    </w:p>
    <w:p>
      <w:r>
        <w:rPr>
          <w:rFonts w:ascii="Calibri" w:hAnsi="Calibri"/>
          <w:b w:val="0"/>
          <w:color w:val="2B2B2B"/>
          <w:sz w:val="22"/>
        </w:rPr>
        <w:t>tiempo completo con la institución. No es una duda pendiente y no debe redactarse como tal.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CvLAC: REGISTRADO, sin producción cargada.</w:t>
      </w:r>
      <w:r>
        <w:rPr>
          <w:rFonts w:ascii="Calibri" w:hAnsi="Calibri"/>
          <w:b w:val="0"/>
          <w:color w:val="2B2B2B"/>
          <w:sz w:val="22"/>
        </w:rPr>
        <w:t xml:space="preserve"> El numeral 5.1 exige "mantener el aplicativo CvLAC</w:t>
      </w:r>
    </w:p>
    <w:p>
      <w:r>
        <w:rPr>
          <w:rFonts w:ascii="Calibri" w:hAnsi="Calibri"/>
          <w:b w:val="0"/>
          <w:color w:val="2B2B2B"/>
          <w:sz w:val="22"/>
        </w:rPr>
        <w:t xml:space="preserve">debidamente actualizado". El investigador </w:t>
      </w:r>
      <w:r>
        <w:rPr>
          <w:rFonts w:ascii="Calibri" w:hAnsi="Calibri"/>
          <w:b/>
          <w:color w:val="2B2B2B"/>
          <w:sz w:val="22"/>
        </w:rPr>
        <w:t>sí tiene CvLAC registrado</w:t>
      </w:r>
      <w:r>
        <w:rPr>
          <w:rFonts w:ascii="Calibri" w:hAnsi="Calibri"/>
          <w:b w:val="0"/>
          <w:color w:val="2B2B2B"/>
          <w:sz w:val="22"/>
        </w:rPr>
        <w:t>; lo que no tiene aún es</w:t>
      </w:r>
    </w:p>
    <w:p>
      <w:r>
        <w:rPr>
          <w:rFonts w:ascii="Calibri" w:hAnsi="Calibri"/>
          <w:b w:val="0"/>
          <w:color w:val="2B2B2B"/>
          <w:sz w:val="22"/>
        </w:rPr>
        <w:t>producción cargada en él, porque esta sería su primera propuesta de investigación en la</w:t>
      </w:r>
    </w:p>
    <w:p>
      <w:r>
        <w:rPr>
          <w:rFonts w:ascii="Calibri" w:hAnsi="Calibri"/>
          <w:b w:val="0"/>
          <w:color w:val="2B2B2B"/>
          <w:sz w:val="22"/>
        </w:rPr>
        <w:t>institución. Un registro al día que refleja cero producción está, en sentido literal, actualizado:</w:t>
      </w:r>
    </w:p>
    <w:p>
      <w:r>
        <w:rPr>
          <w:rFonts w:ascii="Calibri" w:hAnsi="Calibri"/>
          <w:b/>
          <w:color w:val="2B2B2B"/>
          <w:sz w:val="22"/>
        </w:rPr>
        <w:t>no hay incumplimiento que declarar.</w:t>
      </w:r>
      <w:r>
        <w:rPr>
          <w:rFonts w:ascii="Calibri" w:hAnsi="Calibri"/>
          <w:b w:val="0"/>
          <w:color w:val="2B2B2B"/>
          <w:sz w:val="22"/>
        </w:rPr>
        <w:t xml:space="preserve"> La consulta queda planteada de todos modos en</w:t>
      </w:r>
    </w:p>
    <w:p>
      <w:r>
        <w:rPr>
          <w:rFonts w:ascii="Consolas" w:hAnsi="Consolas"/>
          <w:color w:val="111111"/>
          <w:sz w:val="21"/>
        </w:rPr>
        <w:t>Correo a la DNI - consultas previas a la radicacion.md</w:t>
      </w:r>
      <w:r>
        <w:rPr>
          <w:rFonts w:ascii="Calibri" w:hAnsi="Calibri"/>
          <w:b w:val="0"/>
          <w:color w:val="2B2B2B"/>
          <w:sz w:val="22"/>
        </w:rPr>
        <w:t>, porque "debidamente actualizado" admite</w:t>
      </w:r>
    </w:p>
    <w:p>
      <w:r>
        <w:rPr>
          <w:rFonts w:ascii="Calibri" w:hAnsi="Calibri"/>
          <w:b w:val="0"/>
          <w:color w:val="2B2B2B"/>
          <w:sz w:val="22"/>
        </w:rPr>
        <w:t>una lectura más exigente y esa no es una lectura que le corresponda fijar al proponente. La</w:t>
      </w:r>
    </w:p>
    <w:p>
      <w:r>
        <w:rPr>
          <w:rFonts w:ascii="Calibri" w:hAnsi="Calibri"/>
          <w:b w:val="0"/>
          <w:color w:val="2B2B2B"/>
          <w:sz w:val="22"/>
        </w:rPr>
        <w:t>afirmación anterior de este índice —"CvLAC actualizado" como requisito sin verificar— **era falsa</w:t>
      </w:r>
    </w:p>
    <w:p>
      <w:r>
        <w:rPr>
          <w:rFonts w:ascii="Calibri" w:hAnsi="Calibri"/>
          <w:b w:val="0"/>
          <w:color w:val="2B2B2B"/>
          <w:sz w:val="22"/>
        </w:rPr>
        <w:t>y queda eliminada**. Los cinco anteproyectos usan la redacción canónica del pendiente 1, idéntica</w:t>
      </w:r>
    </w:p>
    <w:p>
      <w:r>
        <w:rPr>
          <w:rFonts w:ascii="Calibri" w:hAnsi="Calibri"/>
          <w:b w:val="0"/>
          <w:color w:val="2B2B2B"/>
          <w:sz w:val="22"/>
        </w:rPr>
        <w:t>carácter por carácter en los cinco.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**Descarga horaria y ausencia de pendientes de convocatorias anteriores: por confirmar con la</w:t>
      </w:r>
    </w:p>
    <w:p>
      <w:r>
        <w:rPr>
          <w:rFonts w:ascii="Calibri" w:hAnsi="Calibri"/>
          <w:b w:val="0"/>
          <w:color w:val="2B2B2B"/>
          <w:sz w:val="22"/>
        </w:rPr>
        <w:t>DNI.** Estos dos sí siguen abiertos, y son los únicos dos del numeral 5.1 que lo están.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Adscripción a un grupo de investigación CUN: por definir.</w:t>
      </w:r>
      <w:r>
        <w:rPr>
          <w:rFonts w:ascii="Calibri" w:hAnsi="Calibri"/>
          <w:b w:val="0"/>
          <w:color w:val="2B2B2B"/>
          <w:sz w:val="22"/>
        </w:rPr>
        <w:t xml:space="preserve"> No es un requisito de elegibilidad,</w:t>
      </w:r>
    </w:p>
    <w:p>
      <w:r>
        <w:rPr>
          <w:rFonts w:ascii="Calibri" w:hAnsi="Calibri"/>
          <w:b w:val="0"/>
          <w:color w:val="2B2B2B"/>
          <w:sz w:val="22"/>
        </w:rPr>
        <w:t xml:space="preserve">pero el </w:t>
      </w:r>
      <w:r>
        <w:rPr>
          <w:rFonts w:ascii="Calibri" w:hAnsi="Calibri"/>
          <w:b/>
          <w:color w:val="2B2B2B"/>
          <w:sz w:val="22"/>
        </w:rPr>
        <w:t>Parágrafo 3 del numeral 5.1 prioriza</w:t>
      </w:r>
      <w:r>
        <w:rPr>
          <w:rFonts w:ascii="Calibri" w:hAnsi="Calibri"/>
          <w:b w:val="0"/>
          <w:color w:val="2B2B2B"/>
          <w:sz w:val="22"/>
        </w:rPr>
        <w:t xml:space="preserve"> la financiación de propuestas con un docente</w:t>
      </w:r>
    </w:p>
    <w:p>
      <w:r>
        <w:rPr>
          <w:rFonts w:ascii="Calibri" w:hAnsi="Calibri"/>
          <w:b w:val="0"/>
          <w:color w:val="2B2B2B"/>
          <w:sz w:val="22"/>
        </w:rPr>
        <w:t>investigador perteneciente a un grupo CUN, así que dejarlo sin definir cuesta prioridad real en la</w:t>
      </w:r>
    </w:p>
    <w:p>
      <w:r>
        <w:rPr>
          <w:rFonts w:ascii="Calibri" w:hAnsi="Calibri"/>
          <w:b w:val="0"/>
          <w:color w:val="2B2B2B"/>
          <w:sz w:val="22"/>
        </w:rPr>
        <w:t>evaluación. Ninguno de los cinco anteproyectos declara un grupo que no esté confirmado.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El cronograma del propio documento ya venció.</w:t>
      </w:r>
      <w:r>
        <w:rPr>
          <w:rFonts w:ascii="Calibri" w:hAnsi="Calibri"/>
          <w:b w:val="0"/>
          <w:color w:val="2B2B2B"/>
          <w:sz w:val="22"/>
        </w:rPr>
        <w:t xml:space="preserve"> El numeral 9 fija el cierre de entrega el</w:t>
      </w:r>
    </w:p>
    <w:p>
      <w:r>
        <w:rPr>
          <w:rFonts w:ascii="Calibri" w:hAnsi="Calibri"/>
          <w:b/>
          <w:color w:val="2B2B2B"/>
          <w:sz w:val="22"/>
        </w:rPr>
        <w:t>20 de marzo de 2026</w:t>
      </w:r>
      <w:r>
        <w:rPr>
          <w:rFonts w:ascii="Calibri" w:hAnsi="Calibri"/>
          <w:b w:val="0"/>
          <w:color w:val="2B2B2B"/>
          <w:sz w:val="22"/>
        </w:rPr>
        <w:t xml:space="preserve"> y el acta de inicio el </w:t>
      </w:r>
      <w:r>
        <w:rPr>
          <w:rFonts w:ascii="Calibri" w:hAnsi="Calibri"/>
          <w:b/>
          <w:color w:val="2B2B2B"/>
          <w:sz w:val="22"/>
        </w:rPr>
        <w:t>10 de abril de 2026</w:t>
      </w:r>
      <w:r>
        <w:rPr>
          <w:rFonts w:ascii="Calibri" w:hAnsi="Calibri"/>
          <w:b w:val="0"/>
          <w:color w:val="2B2B2B"/>
          <w:sz w:val="22"/>
        </w:rPr>
        <w:t xml:space="preserve"> — ambas anteriores a hoy.</w:t>
      </w:r>
    </w:p>
    <w:p>
      <w:r>
        <w:rPr>
          <w:rFonts w:ascii="Calibri" w:hAnsi="Calibri"/>
          <w:b w:val="0"/>
          <w:color w:val="2B2B2B"/>
          <w:sz w:val="22"/>
        </w:rPr>
        <w:t xml:space="preserve">No se resuelve desde el documento y </w:t>
      </w:r>
      <w:r>
        <w:rPr>
          <w:rFonts w:ascii="Calibri" w:hAnsi="Calibri"/>
          <w:b/>
          <w:color w:val="2B2B2B"/>
          <w:sz w:val="22"/>
        </w:rPr>
        <w:t>no se inventan fechas nuevas</w:t>
      </w:r>
      <w:r>
        <w:rPr>
          <w:rFonts w:ascii="Calibri" w:hAnsi="Calibri"/>
          <w:b w:val="0"/>
          <w:color w:val="2B2B2B"/>
          <w:sz w:val="22"/>
        </w:rPr>
        <w:t>: los cinco anteproyectos</w:t>
      </w:r>
    </w:p>
    <w:p>
      <w:r>
        <w:rPr>
          <w:rFonts w:ascii="Calibri" w:hAnsi="Calibri"/>
          <w:b w:val="0"/>
          <w:color w:val="2B2B2B"/>
          <w:sz w:val="22"/>
        </w:rPr>
        <w:t xml:space="preserve">usan </w:t>
      </w:r>
      <w:r>
        <w:rPr>
          <w:rFonts w:ascii="Calibri" w:hAnsi="Calibri"/>
          <w:b/>
          <w:color w:val="2B2B2B"/>
          <w:sz w:val="22"/>
        </w:rPr>
        <w:t>semanas relativas (S1…S12)</w:t>
      </w:r>
      <w:r>
        <w:rPr>
          <w:rFonts w:ascii="Calibri" w:hAnsi="Calibri"/>
          <w:b w:val="0"/>
          <w:color w:val="2B2B2B"/>
          <w:sz w:val="22"/>
        </w:rPr>
        <w:t xml:space="preserve"> en el cronograma, y la consulta está planteada en el correo a</w:t>
      </w:r>
    </w:p>
    <w:p>
      <w:r>
        <w:rPr>
          <w:rFonts w:ascii="Calibri" w:hAnsi="Calibri"/>
          <w:b w:val="0"/>
          <w:color w:val="2B2B2B"/>
          <w:sz w:val="22"/>
        </w:rPr>
        <w:t>la DNI.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Los pesos de evaluación del numeral 11 se contradicen en el propio documento oficial.</w:t>
      </w:r>
      <w:r>
        <w:rPr>
          <w:rFonts w:ascii="Calibri" w:hAnsi="Calibri"/>
          <w:b w:val="0"/>
          <w:color w:val="2B2B2B"/>
          <w:sz w:val="22"/>
        </w:rPr>
        <w:t xml:space="preserve"> La tabla</w:t>
      </w:r>
    </w:p>
    <w:p>
      <w:r>
        <w:rPr>
          <w:rFonts w:ascii="Calibri" w:hAnsi="Calibri"/>
          <w:b w:val="0"/>
          <w:color w:val="2B2B2B"/>
          <w:sz w:val="22"/>
        </w:rPr>
        <w:t>dice Elementos preliminares 2 / Impacto-viabilidad-retorno 28 / Calidad de la propuesta 50 /</w:t>
      </w:r>
    </w:p>
    <w:p>
      <w:r>
        <w:rPr>
          <w:rFonts w:ascii="Calibri" w:hAnsi="Calibri"/>
          <w:b w:val="0"/>
          <w:color w:val="2B2B2B"/>
          <w:sz w:val="22"/>
        </w:rPr>
        <w:t>Resultados y productos 20 (=100); el texto explicativo inmediatamente debajo dice Elementos</w:t>
      </w:r>
    </w:p>
    <w:p>
      <w:r>
        <w:rPr>
          <w:rFonts w:ascii="Calibri" w:hAnsi="Calibri"/>
          <w:b w:val="0"/>
          <w:color w:val="2B2B2B"/>
          <w:sz w:val="22"/>
        </w:rPr>
        <w:t>preliminares 20 / Calidad de la propuesta 60 / Resultados y productos 20 (=100). Es una</w:t>
      </w:r>
    </w:p>
    <w:p>
      <w:r>
        <w:rPr>
          <w:rFonts w:ascii="Calibri" w:hAnsi="Calibri"/>
          <w:b w:val="0"/>
          <w:color w:val="2B2B2B"/>
          <w:sz w:val="22"/>
        </w:rPr>
        <w:t xml:space="preserve">inconsistencia institucional y </w:t>
      </w:r>
      <w:r>
        <w:rPr>
          <w:rFonts w:ascii="Calibri" w:hAnsi="Calibri"/>
          <w:b/>
          <w:color w:val="2B2B2B"/>
          <w:sz w:val="22"/>
        </w:rPr>
        <w:t>no se resuelve aquí</w:t>
      </w:r>
      <w:r>
        <w:rPr>
          <w:rFonts w:ascii="Calibri" w:hAnsi="Calibri"/>
          <w:b w:val="0"/>
          <w:color w:val="2B2B2B"/>
          <w:sz w:val="22"/>
        </w:rPr>
        <w:t>. Bajo cualquiera de las dos lecturas,</w:t>
      </w:r>
    </w:p>
    <w:p>
      <w:r>
        <w:rPr>
          <w:rFonts w:ascii="Calibri" w:hAnsi="Calibri"/>
          <w:b/>
          <w:color w:val="2B2B2B"/>
          <w:sz w:val="22"/>
        </w:rPr>
        <w:t>Calidad de la propuesta es el bloque de mayor peso</w:t>
      </w:r>
      <w:r>
        <w:rPr>
          <w:rFonts w:ascii="Calibri" w:hAnsi="Calibri"/>
          <w:b w:val="0"/>
          <w:color w:val="2B2B2B"/>
          <w:sz w:val="22"/>
        </w:rPr>
        <w:t xml:space="preserve"> (50 % o 60 %), y ahí están escritos los</w:t>
      </w:r>
    </w:p>
    <w:p>
      <w:r>
        <w:rPr>
          <w:rFonts w:ascii="Calibri" w:hAnsi="Calibri"/>
          <w:b w:val="0"/>
          <w:color w:val="2B2B2B"/>
          <w:sz w:val="22"/>
        </w:rPr>
        <w:t>cinco. *(La versión anterior de este índice decía "60 % bajo cualquier lectura": eso también era</w:t>
      </w:r>
    </w:p>
    <w:p>
      <w:r>
        <w:rPr>
          <w:rFonts w:ascii="Calibri" w:hAnsi="Calibri"/>
          <w:b w:val="0"/>
          <w:color w:val="2B2B2B"/>
          <w:sz w:val="22"/>
        </w:rPr>
        <w:t>inexacto — bajo la lectura de la tabla es 50 %.)*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Presupuesto: hasta $5.000.000 por propuesta aprobada.</w:t>
      </w:r>
      <w:r>
        <w:rPr>
          <w:rFonts w:ascii="Calibri" w:hAnsi="Calibri"/>
          <w:b w:val="0"/>
          <w:color w:val="2B2B2B"/>
          <w:sz w:val="22"/>
        </w:rPr>
        <w:t xml:space="preserve"> La tabla de rubros financiables del</w:t>
      </w:r>
    </w:p>
    <w:p>
      <w:r>
        <w:rPr>
          <w:rFonts w:ascii="Calibri" w:hAnsi="Calibri"/>
          <w:b w:val="0"/>
          <w:color w:val="2B2B2B"/>
          <w:sz w:val="22"/>
        </w:rPr>
        <w:t xml:space="preserve">numeral 6 </w:t>
      </w:r>
      <w:r>
        <w:rPr>
          <w:rFonts w:ascii="Calibri" w:hAnsi="Calibri"/>
          <w:b/>
          <w:color w:val="2B2B2B"/>
          <w:sz w:val="22"/>
        </w:rPr>
        <w:t>está incrustada como imagen y no se puede extraer del PDF</w:t>
      </w:r>
      <w:r>
        <w:rPr>
          <w:rFonts w:ascii="Calibri" w:hAnsi="Calibri"/>
          <w:b w:val="0"/>
          <w:color w:val="2B2B2B"/>
          <w:sz w:val="22"/>
        </w:rPr>
        <w:t>, de modo que ningún rubro</w:t>
      </w:r>
    </w:p>
    <w:p>
      <w:r>
        <w:rPr>
          <w:rFonts w:ascii="Calibri" w:hAnsi="Calibri"/>
          <w:b w:val="0"/>
          <w:color w:val="2B2B2B"/>
          <w:sz w:val="22"/>
        </w:rPr>
        <w:t>de talento humano puede declararse verificado. Cada anteproyecto declara su monto en riesgo y el</w:t>
      </w:r>
    </w:p>
    <w:p>
      <w:r>
        <w:rPr>
          <w:rFonts w:ascii="Calibri" w:hAnsi="Calibri"/>
          <w:b w:val="0"/>
          <w:color w:val="2B2B2B"/>
          <w:sz w:val="22"/>
        </w:rPr>
        <w:t>porcentaje del presupuesto que representa (ver la tabla comparativa de Fase 2).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Duración: 12 semanas</w:t>
      </w:r>
      <w:r>
        <w:rPr>
          <w:rFonts w:ascii="Calibri" w:hAnsi="Calibri"/>
          <w:b w:val="0"/>
          <w:color w:val="2B2B2B"/>
          <w:sz w:val="22"/>
        </w:rPr>
        <w:t xml:space="preserve"> (~3 meses). Ninguna de las cinco exige más.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Fase 1 — las cinco ideaciones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Grupo · Eje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 de propuesta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Resumen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Punto fuerte</w:t>
            </w:r>
          </w:p>
        </w:tc>
        <w:tc>
          <w:tcPr>
            <w:tcW w:type="dxa" w:w="1399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Riesgo principal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[Trazabilidad IoT-IA de Espacios CUN](Propuesta%201%20-%20Trazabilidad%20IoT-IA%20de%20Espacios%20CUN.docx)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· TIC e IoT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 Software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197 pal.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Multi-sede/multi-modalidad de fábrica (puntúa bien en "Elementos preliminares")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Requiere comprar e instalar sensores reales; el eje IoT ya es un terreno muy trabajado, poca originalidad diferencial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[Asistente IA de Riesgo Académico](Propuesta%202%20-%20Asistente%20IA%20Riesgo%20Academico.docx)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· IA y Tecnologías Emergentes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 Software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187 pal.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Retorno institucional directo (permanencia/deserción es prioridad típica de cualquier IES); encaja de lleno con la especialización en IA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Necesita datos históricos reales del programa piloto con acceso y tratamiento de datos ya resuelto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[GenIA Docente CUN](Propuesta%203%20-%20GenIA%20Docente%20CUN.docx)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 · Tecnologías Educativas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Innovación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196 pal.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El sistema ya existe y está en producción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(este mismo repositorio): el riesgo de ejecución en 3 meses es el más bajo de las cinco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Hay que ser honesto sobre qué es innovación evaluable y qué es describir un sistema propio ya construido</w:t>
            </w:r>
          </w:p>
        </w:tc>
      </w:tr>
      <w:tr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[Ciberseguridad y Datos en Pymes](Propuesta%204%20-%20Ciberseguridad%20y%20Datos%20en%20PYMES.docx)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 · Big Data/Ciberseguridad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Investigación + Proyección Social *(en Fase 2 se marcó solo </w:t>
            </w:r>
            <w:r>
              <w:rPr>
                <w:rFonts w:ascii="Calibri" w:hAnsi="Calibri"/>
                <w:b/>
                <w:color w:val="2B2B2B"/>
                <w:sz w:val="20"/>
              </w:rPr>
              <w:t>Investigación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>; ver más abajo)*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194 pal.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Fuerte en "articulación con sector externo", que puntúa aparte en Elementos preliminares</w:t>
            </w:r>
          </w:p>
        </w:tc>
        <w:tc>
          <w:tcPr>
            <w:tcW w:type="dxa" w:w="1399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Depende de tener una pyme aliada real dispuesta a participar (activa el Anexo 3, Carta de aval) — sin eso, no hay caso de estudio</w:t>
            </w:r>
          </w:p>
        </w:tc>
      </w:tr>
      <w:tr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[Docente Avatar y Telepresencia](Propuesta%205%20-%20Docente%20Avatar%20y%20Telepresencia.docx)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 · Innovación Pedagógica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Innovación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179 pal.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La más interdisciplinar (ingeniería + pedagogía): impacta varios programas y modalidades</w:t>
            </w:r>
          </w:p>
        </w:tc>
        <w:tc>
          <w:tcPr>
            <w:tcW w:type="dxa" w:w="1399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La más exploratoria de las cinco; el resultado es un piloto/informe técnico, no un sistema terminado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Fase 2 — los cinco anteproyectos completos</w:t>
      </w:r>
    </w:p>
    <w:p>
      <w:r>
        <w:rPr>
          <w:rFonts w:ascii="Calibri" w:hAnsi="Calibri"/>
          <w:b w:val="0"/>
          <w:color w:val="2B2B2B"/>
          <w:sz w:val="22"/>
        </w:rPr>
        <w:t xml:space="preserve">Los conteos de palabras de esta sección se midieron con </w:t>
      </w:r>
      <w:r>
        <w:rPr>
          <w:rFonts w:ascii="Consolas" w:hAnsi="Consolas"/>
          <w:color w:val="111111"/>
          <w:sz w:val="21"/>
        </w:rPr>
        <w:t>wc -w</w:t>
      </w:r>
      <w:r>
        <w:rPr>
          <w:rFonts w:ascii="Calibri" w:hAnsi="Calibri"/>
          <w:b w:val="0"/>
          <w:color w:val="2B2B2B"/>
          <w:sz w:val="22"/>
        </w:rPr>
        <w:t xml:space="preserve"> sobre el cuerpo de texto extraído, no</w:t>
      </w:r>
    </w:p>
    <w:p>
      <w:r>
        <w:rPr>
          <w:rFonts w:ascii="Calibri" w:hAnsi="Calibri"/>
          <w:b w:val="0"/>
          <w:color w:val="2B2B2B"/>
          <w:sz w:val="22"/>
        </w:rPr>
        <w:t>al ojo. Los presupuestos se verificaron línea por línea contra el total declarado. El número de</w:t>
      </w:r>
    </w:p>
    <w:p>
      <w:r>
        <w:rPr>
          <w:rFonts w:ascii="Calibri" w:hAnsi="Calibri"/>
          <w:b w:val="0"/>
          <w:color w:val="2B2B2B"/>
          <w:sz w:val="22"/>
        </w:rPr>
        <w:t>referencias es el conteo de entradas dentro de la sección "Lista de referencias", no el número de</w:t>
      </w:r>
    </w:p>
    <w:p>
      <w:r>
        <w:rPr>
          <w:rFonts w:ascii="Calibri" w:hAnsi="Calibri"/>
          <w:b w:val="0"/>
          <w:color w:val="2B2B2B"/>
          <w:sz w:val="22"/>
        </w:rPr>
        <w:t>citas en el texto.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[Trazabilidad IoT-IA de Espacios CUN](Anteproyecto%20-%20Trazabilidad%20IoT-IA%20de%20Espacios%20CUN.docx)</w:t>
      </w:r>
    </w:p>
    <w:p>
      <w:r>
        <w:rPr>
          <w:rFonts w:ascii="Calibri" w:hAnsi="Calibri"/>
          <w:b w:val="0"/>
          <w:color w:val="2B2B2B"/>
          <w:sz w:val="22"/>
        </w:rPr>
        <w:t>*Sistema IoT-IA de monitoreo y trazabilidad del uso de espacios y equipos académicos en la CUN*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Tipo de propuesta:</w:t>
      </w:r>
      <w:r>
        <w:rPr>
          <w:rFonts w:ascii="Calibri" w:hAnsi="Calibri"/>
          <w:b w:val="0"/>
          <w:color w:val="2B2B2B"/>
          <w:sz w:val="22"/>
        </w:rPr>
        <w:t xml:space="preserve"> Desarrollo de Software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1</w:t>
      </w:r>
      <w:r>
        <w:rPr>
          <w:rFonts w:ascii="Calibri" w:hAnsi="Calibri"/>
          <w:b w:val="0"/>
          <w:color w:val="2B2B2B"/>
          <w:sz w:val="22"/>
        </w:rPr>
        <w:t xml:space="preserve"> — Línea de Gestión y Tecnologías · </w:t>
      </w:r>
      <w:r>
        <w:rPr>
          <w:rFonts w:ascii="Calibri" w:hAnsi="Calibri"/>
          <w:b/>
          <w:color w:val="2B2B2B"/>
          <w:sz w:val="22"/>
        </w:rPr>
        <w:t>Eje:</w:t>
      </w:r>
      <w:r>
        <w:rPr>
          <w:rFonts w:ascii="Calibri" w:hAnsi="Calibri"/>
          <w:b w:val="0"/>
          <w:color w:val="2B2B2B"/>
          <w:sz w:val="22"/>
        </w:rPr>
        <w:t xml:space="preserve"> Tecnologías de la Información y la</w:t>
      </w:r>
    </w:p>
    <w:p>
      <w:r>
        <w:rPr>
          <w:rFonts w:ascii="Calibri" w:hAnsi="Calibri"/>
          <w:b w:val="0"/>
          <w:color w:val="2B2B2B"/>
          <w:sz w:val="22"/>
        </w:rPr>
        <w:t>Comunicación e Internet de las Cosas (IoT)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Presupuesto: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$5.000.000</w:t>
      </w:r>
      <w:r>
        <w:rPr>
          <w:rFonts w:ascii="Calibri" w:hAnsi="Calibri"/>
          <w:b w:val="0"/>
          <w:color w:val="2B2B2B"/>
          <w:sz w:val="22"/>
        </w:rPr>
        <w:t xml:space="preserve"> — la única que pide el techo exacto del numeral 8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Referencias:</w:t>
      </w:r>
      <w:r>
        <w:rPr>
          <w:rFonts w:ascii="Calibri" w:hAnsi="Calibri"/>
          <w:b w:val="0"/>
          <w:color w:val="2B2B2B"/>
          <w:sz w:val="22"/>
        </w:rPr>
        <w:t xml:space="preserve"> 25 (IEEE) · </w:t>
      </w:r>
      <w:r>
        <w:rPr>
          <w:rFonts w:ascii="Calibri" w:hAnsi="Calibri"/>
          <w:b/>
          <w:color w:val="2B2B2B"/>
          <w:sz w:val="22"/>
        </w:rPr>
        <w:t>Resumen:</w:t>
      </w:r>
      <w:r>
        <w:rPr>
          <w:rFonts w:ascii="Calibri" w:hAnsi="Calibri"/>
          <w:b w:val="0"/>
          <w:color w:val="2B2B2B"/>
          <w:sz w:val="22"/>
        </w:rPr>
        <w:t xml:space="preserve"> 199 palabras · </w:t>
      </w:r>
      <w:r>
        <w:rPr>
          <w:rFonts w:ascii="Calibri" w:hAnsi="Calibri"/>
          <w:b/>
          <w:color w:val="2B2B2B"/>
          <w:sz w:val="22"/>
        </w:rPr>
        <w:t>Marco teórico:</w:t>
      </w:r>
      <w:r>
        <w:rPr>
          <w:rFonts w:ascii="Calibri" w:hAnsi="Calibri"/>
          <w:b w:val="0"/>
          <w:color w:val="2B2B2B"/>
          <w:sz w:val="22"/>
        </w:rPr>
        <w:t xml:space="preserve"> 1.675 palabras ·</w:t>
      </w:r>
    </w:p>
    <w:p>
      <w:r>
        <w:rPr>
          <w:rFonts w:ascii="Calibri" w:hAnsi="Calibri"/>
          <w:b/>
          <w:color w:val="2B2B2B"/>
          <w:sz w:val="22"/>
        </w:rPr>
        <w:t>Actividades:</w:t>
      </w:r>
      <w:r>
        <w:rPr>
          <w:rFonts w:ascii="Calibri" w:hAnsi="Calibri"/>
          <w:b w:val="0"/>
          <w:color w:val="2B2B2B"/>
          <w:sz w:val="22"/>
        </w:rPr>
        <w:t xml:space="preserve"> 12, consecutivas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Productos (5, en 3 tipologías):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I.</w:t>
      </w:r>
      <w:r>
        <w:rPr>
          <w:rFonts w:ascii="Calibri" w:hAnsi="Calibri"/>
          <w:b w:val="0"/>
          <w:color w:val="2B2B2B"/>
          <w:sz w:val="22"/>
        </w:rPr>
        <w:t xml:space="preserve"> informe técnico del piloto + conjunto de datos</w:t>
      </w:r>
    </w:p>
    <w:p>
      <w:r>
        <w:rPr>
          <w:rFonts w:ascii="Calibri" w:hAnsi="Calibri"/>
          <w:b w:val="0"/>
          <w:color w:val="2B2B2B"/>
          <w:sz w:val="22"/>
        </w:rPr>
        <w:t xml:space="preserve">institucional de ocupación documentado · </w:t>
      </w:r>
      <w:r>
        <w:rPr>
          <w:rFonts w:ascii="Calibri" w:hAnsi="Calibri"/>
          <w:b/>
          <w:color w:val="2B2B2B"/>
          <w:sz w:val="22"/>
        </w:rPr>
        <w:t>II.</w:t>
      </w:r>
      <w:r>
        <w:rPr>
          <w:rFonts w:ascii="Calibri" w:hAnsi="Calibri"/>
          <w:b w:val="0"/>
          <w:color w:val="2B2B2B"/>
          <w:sz w:val="22"/>
        </w:rPr>
        <w:t xml:space="preserve"> dos estudiantes de semillero certificados ·</w:t>
      </w:r>
    </w:p>
    <w:p>
      <w:r>
        <w:rPr>
          <w:rFonts w:ascii="Calibri" w:hAnsi="Calibri"/>
          <w:b/>
          <w:color w:val="2B2B2B"/>
          <w:sz w:val="22"/>
        </w:rPr>
        <w:t>IV.</w:t>
      </w:r>
      <w:r>
        <w:rPr>
          <w:rFonts w:ascii="Calibri" w:hAnsi="Calibri"/>
          <w:b w:val="0"/>
          <w:color w:val="2B2B2B"/>
          <w:sz w:val="22"/>
        </w:rPr>
        <w:t xml:space="preserve"> prototipo de ocho nodos sensores en dos sedes + tablero de trazabilidad con alertas de</w:t>
      </w:r>
    </w:p>
    <w:p>
      <w:r>
        <w:rPr>
          <w:rFonts w:ascii="Calibri" w:hAnsi="Calibri"/>
          <w:b w:val="0"/>
          <w:color w:val="2B2B2B"/>
          <w:sz w:val="22"/>
        </w:rPr>
        <w:t xml:space="preserve">anomalías y repositorio documentado. </w:t>
      </w:r>
      <w:r>
        <w:rPr>
          <w:rFonts w:ascii="Calibri" w:hAnsi="Calibri"/>
          <w:b/>
          <w:color w:val="2B2B2B"/>
          <w:sz w:val="22"/>
        </w:rPr>
        <w:t>No compromete III (apropiación social)</w:t>
      </w:r>
      <w:r>
        <w:rPr>
          <w:rFonts w:ascii="Calibri" w:hAnsi="Calibri"/>
          <w:b w:val="0"/>
          <w:color w:val="2B2B2B"/>
          <w:sz w:val="22"/>
        </w:rPr>
        <w:t>, y lo argumenta: en</w:t>
      </w:r>
    </w:p>
    <w:p>
      <w:r>
        <w:rPr>
          <w:rFonts w:ascii="Calibri" w:hAnsi="Calibri"/>
          <w:b w:val="0"/>
          <w:color w:val="2B2B2B"/>
          <w:sz w:val="22"/>
        </w:rPr>
        <w:t>12 semanas cualquier producto de esa tipología sería el mismo informe técnico con otro rótulo.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Calidad de la propuesta:</w:t>
      </w:r>
      <w:r>
        <w:rPr>
          <w:rFonts w:ascii="Calibri" w:hAnsi="Calibri"/>
          <w:b w:val="0"/>
          <w:color w:val="2B2B2B"/>
          <w:sz w:val="22"/>
        </w:rPr>
        <w:t xml:space="preserve"> pega </w:t>
      </w:r>
      <w:r>
        <w:rPr>
          <w:rFonts w:ascii="Calibri" w:hAnsi="Calibri"/>
          <w:b/>
          <w:color w:val="2B2B2B"/>
          <w:sz w:val="22"/>
        </w:rPr>
        <w:t>medio-alto</w:t>
      </w:r>
      <w:r>
        <w:rPr>
          <w:rFonts w:ascii="Calibri" w:hAnsi="Calibri"/>
          <w:b w:val="0"/>
          <w:color w:val="2B2B2B"/>
          <w:sz w:val="22"/>
        </w:rPr>
        <w:t>. La instrumentación multi-sede y el conjunto de</w:t>
      </w:r>
    </w:p>
    <w:p>
      <w:r>
        <w:rPr>
          <w:rFonts w:ascii="Calibri" w:hAnsi="Calibri"/>
          <w:b w:val="0"/>
          <w:color w:val="2B2B2B"/>
          <w:sz w:val="22"/>
        </w:rPr>
        <w:t>datos documentado son sólidos y verificables, y la delimitación entre lo preexistente y lo que</w:t>
      </w:r>
    </w:p>
    <w:p>
      <w:r>
        <w:rPr>
          <w:rFonts w:ascii="Calibri" w:hAnsi="Calibri"/>
          <w:b w:val="0"/>
          <w:color w:val="2B2B2B"/>
          <w:sz w:val="22"/>
        </w:rPr>
        <w:t>produce la convocatoria está escrita. Pero el eje IoT es terreno muy trabajado: la originalidad no</w:t>
      </w:r>
    </w:p>
    <w:p>
      <w:r>
        <w:rPr>
          <w:rFonts w:ascii="Calibri" w:hAnsi="Calibri"/>
          <w:b w:val="0"/>
          <w:color w:val="2B2B2B"/>
          <w:sz w:val="22"/>
        </w:rPr>
        <w:t>está en la técnica sino en el objeto institucional, y un evaluador exigente puede leerla como</w:t>
      </w:r>
    </w:p>
    <w:p>
      <w:r>
        <w:rPr>
          <w:rFonts w:ascii="Calibri" w:hAnsi="Calibri"/>
          <w:b w:val="0"/>
          <w:color w:val="2B2B2B"/>
          <w:sz w:val="22"/>
        </w:rPr>
        <w:t>ingeniería de despliegue antes que como investigación.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Realismo a 12 semanas: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el más bajo de los cinco.</w:t>
      </w:r>
      <w:r>
        <w:rPr>
          <w:rFonts w:ascii="Calibri" w:hAnsi="Calibri"/>
          <w:b w:val="0"/>
          <w:color w:val="2B2B2B"/>
          <w:sz w:val="22"/>
        </w:rPr>
        <w:t xml:space="preserve"> Es la única cuya ruta crítica incluye</w:t>
      </w:r>
    </w:p>
    <w:p>
      <w:r>
        <w:rPr>
          <w:rFonts w:ascii="Calibri" w:hAnsi="Calibri"/>
          <w:b w:val="0"/>
          <w:color w:val="2B2B2B"/>
          <w:sz w:val="22"/>
        </w:rPr>
        <w:t xml:space="preserve">comprar, recibir, calibrar e instalar hardware en </w:t>
      </w:r>
      <w:r>
        <w:rPr>
          <w:rFonts w:ascii="Calibri" w:hAnsi="Calibri"/>
          <w:b/>
          <w:color w:val="2B2B2B"/>
          <w:sz w:val="22"/>
        </w:rPr>
        <w:t>dos sedes</w:t>
      </w:r>
      <w:r>
        <w:rPr>
          <w:rFonts w:ascii="Calibri" w:hAnsi="Calibri"/>
          <w:b w:val="0"/>
          <w:color w:val="2B2B2B"/>
          <w:sz w:val="22"/>
        </w:rPr>
        <w:t xml:space="preserve"> —una de ellas regional y todavía sin</w:t>
      </w:r>
    </w:p>
    <w:p>
      <w:r>
        <w:rPr>
          <w:rFonts w:ascii="Calibri" w:hAnsi="Calibri"/>
          <w:b w:val="0"/>
          <w:color w:val="2B2B2B"/>
          <w:sz w:val="22"/>
        </w:rPr>
        <w:t>confirmar— antes de que empiece a existir el dato. Si la compra se atrasa dos semanas, el piloto de</w:t>
      </w:r>
    </w:p>
    <w:p>
      <w:r>
        <w:rPr>
          <w:rFonts w:ascii="Calibri" w:hAnsi="Calibri"/>
          <w:b w:val="0"/>
          <w:color w:val="2B2B2B"/>
          <w:sz w:val="22"/>
        </w:rPr>
        <w:t>medición se comprime hasta dejar de ser evaluable. Consume el 100 % del techo, así que no tiene</w:t>
      </w:r>
    </w:p>
    <w:p>
      <w:r>
        <w:rPr>
          <w:rFonts w:ascii="Calibri" w:hAnsi="Calibri"/>
          <w:b w:val="0"/>
          <w:color w:val="2B2B2B"/>
          <w:sz w:val="22"/>
        </w:rPr>
        <w:t>colchón presupuestal para reaccionar.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[Asistente IA Riesgo Académico](Anteproyecto%20-%20Asistente%20IA%20Riesgo%20Academico.docx)</w:t>
      </w:r>
    </w:p>
    <w:p>
      <w:r>
        <w:rPr>
          <w:rFonts w:ascii="Calibri" w:hAnsi="Calibri"/>
          <w:b w:val="0"/>
          <w:color w:val="2B2B2B"/>
          <w:sz w:val="22"/>
        </w:rPr>
        <w:t>*Prototipo de asistente conversacional con recuperación aumentada (RAG) para la detección temprana de</w:t>
      </w:r>
    </w:p>
    <w:p>
      <w:r>
        <w:rPr>
          <w:rFonts w:ascii="Calibri" w:hAnsi="Calibri"/>
          <w:b w:val="0"/>
          <w:color w:val="2B2B2B"/>
          <w:sz w:val="22"/>
        </w:rPr>
        <w:t>riesgo académico en un programa de la CUN: construcción, validación retrospectiva y salvaguardas de uso*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Tipo de propuesta:</w:t>
      </w:r>
      <w:r>
        <w:rPr>
          <w:rFonts w:ascii="Calibri" w:hAnsi="Calibri"/>
          <w:b w:val="0"/>
          <w:color w:val="2B2B2B"/>
          <w:sz w:val="22"/>
        </w:rPr>
        <w:t xml:space="preserve"> Desarrollo de Software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1</w:t>
      </w:r>
      <w:r>
        <w:rPr>
          <w:rFonts w:ascii="Calibri" w:hAnsi="Calibri"/>
          <w:b w:val="0"/>
          <w:color w:val="2B2B2B"/>
          <w:sz w:val="22"/>
        </w:rPr>
        <w:t xml:space="preserve"> — Línea de Gestión y Tecnologías · </w:t>
      </w:r>
      <w:r>
        <w:rPr>
          <w:rFonts w:ascii="Calibri" w:hAnsi="Calibri"/>
          <w:b/>
          <w:color w:val="2B2B2B"/>
          <w:sz w:val="22"/>
        </w:rPr>
        <w:t>Eje:</w:t>
      </w:r>
      <w:r>
        <w:rPr>
          <w:rFonts w:ascii="Calibri" w:hAnsi="Calibri"/>
          <w:b w:val="0"/>
          <w:color w:val="2B2B2B"/>
          <w:sz w:val="22"/>
        </w:rPr>
        <w:t xml:space="preserve"> Inteligencia Artificial y</w:t>
      </w:r>
    </w:p>
    <w:p>
      <w:r>
        <w:rPr>
          <w:rFonts w:ascii="Calibri" w:hAnsi="Calibri"/>
          <w:b w:val="0"/>
          <w:color w:val="2B2B2B"/>
          <w:sz w:val="22"/>
        </w:rPr>
        <w:t>Tecnologías Emergentes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Presupuesto: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$3.850.000</w:t>
      </w:r>
      <w:r>
        <w:rPr>
          <w:rFonts w:ascii="Calibri" w:hAnsi="Calibri"/>
          <w:b w:val="0"/>
          <w:color w:val="2B2B2B"/>
          <w:sz w:val="22"/>
        </w:rPr>
        <w:t xml:space="preserve"> (77 % del techo)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Referencias: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30</w:t>
      </w:r>
      <w:r>
        <w:rPr>
          <w:rFonts w:ascii="Calibri" w:hAnsi="Calibri"/>
          <w:b w:val="0"/>
          <w:color w:val="2B2B2B"/>
          <w:sz w:val="22"/>
        </w:rPr>
        <w:t xml:space="preserve"> (IEEE) — la lista más extensa de las cinco · </w:t>
      </w:r>
      <w:r>
        <w:rPr>
          <w:rFonts w:ascii="Calibri" w:hAnsi="Calibri"/>
          <w:b/>
          <w:color w:val="2B2B2B"/>
          <w:sz w:val="22"/>
        </w:rPr>
        <w:t>Resumen:</w:t>
      </w:r>
      <w:r>
        <w:rPr>
          <w:rFonts w:ascii="Calibri" w:hAnsi="Calibri"/>
          <w:b w:val="0"/>
          <w:color w:val="2B2B2B"/>
          <w:sz w:val="22"/>
        </w:rPr>
        <w:t xml:space="preserve"> 199 palabras ·</w:t>
      </w:r>
    </w:p>
    <w:p>
      <w:r>
        <w:rPr>
          <w:rFonts w:ascii="Calibri" w:hAnsi="Calibri"/>
          <w:b/>
          <w:color w:val="2B2B2B"/>
          <w:sz w:val="22"/>
        </w:rPr>
        <w:t>Marco teórico:</w:t>
      </w:r>
      <w:r>
        <w:rPr>
          <w:rFonts w:ascii="Calibri" w:hAnsi="Calibri"/>
          <w:b w:val="0"/>
          <w:color w:val="2B2B2B"/>
          <w:sz w:val="22"/>
        </w:rPr>
        <w:t xml:space="preserve"> 1.958 palabras · </w:t>
      </w:r>
      <w:r>
        <w:rPr>
          <w:rFonts w:ascii="Calibri" w:hAnsi="Calibri"/>
          <w:b/>
          <w:color w:val="2B2B2B"/>
          <w:sz w:val="22"/>
        </w:rPr>
        <w:t>Actividades:</w:t>
      </w:r>
      <w:r>
        <w:rPr>
          <w:rFonts w:ascii="Calibri" w:hAnsi="Calibri"/>
          <w:b w:val="0"/>
          <w:color w:val="2B2B2B"/>
          <w:sz w:val="22"/>
        </w:rPr>
        <w:t xml:space="preserve"> 14, consecutivas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Productos (7, en las 4 tipologías):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I.</w:t>
      </w:r>
      <w:r>
        <w:rPr>
          <w:rFonts w:ascii="Calibri" w:hAnsi="Calibri"/>
          <w:b w:val="0"/>
          <w:color w:val="2B2B2B"/>
          <w:sz w:val="22"/>
        </w:rPr>
        <w:t xml:space="preserve"> informe de validación retrospectiva y manuscrito +</w:t>
      </w:r>
    </w:p>
    <w:p>
      <w:r>
        <w:rPr>
          <w:rFonts w:ascii="Calibri" w:hAnsi="Calibri"/>
          <w:b w:val="0"/>
          <w:color w:val="2B2B2B"/>
          <w:sz w:val="22"/>
        </w:rPr>
        <w:t xml:space="preserve">protocolo reutilizable de auditoría de atribución a fuente · </w:t>
      </w:r>
      <w:r>
        <w:rPr>
          <w:rFonts w:ascii="Calibri" w:hAnsi="Calibri"/>
          <w:b/>
          <w:color w:val="2B2B2B"/>
          <w:sz w:val="22"/>
        </w:rPr>
        <w:t>II.</w:t>
      </w:r>
      <w:r>
        <w:rPr>
          <w:rFonts w:ascii="Calibri" w:hAnsi="Calibri"/>
          <w:b w:val="0"/>
          <w:color w:val="2B2B2B"/>
          <w:sz w:val="22"/>
        </w:rPr>
        <w:t xml:space="preserve"> estudiante de semillero</w:t>
      </w:r>
    </w:p>
    <w:p>
      <w:r>
        <w:rPr>
          <w:rFonts w:ascii="Calibri" w:hAnsi="Calibri"/>
          <w:b w:val="0"/>
          <w:color w:val="2B2B2B"/>
          <w:sz w:val="22"/>
        </w:rPr>
        <w:t xml:space="preserve">certificado como segundo anotador independiente · </w:t>
      </w:r>
      <w:r>
        <w:rPr>
          <w:rFonts w:ascii="Calibri" w:hAnsi="Calibri"/>
          <w:b/>
          <w:color w:val="2B2B2B"/>
          <w:sz w:val="22"/>
        </w:rPr>
        <w:t>III.</w:t>
      </w:r>
      <w:r>
        <w:rPr>
          <w:rFonts w:ascii="Calibri" w:hAnsi="Calibri"/>
          <w:b w:val="0"/>
          <w:color w:val="2B2B2B"/>
          <w:sz w:val="22"/>
        </w:rPr>
        <w:t xml:space="preserve"> guía de adopción y lista de salvaguardas,</w:t>
      </w:r>
    </w:p>
    <w:p>
      <w:r>
        <w:rPr>
          <w:rFonts w:ascii="Calibri" w:hAnsi="Calibri"/>
          <w:b w:val="0"/>
          <w:color w:val="2B2B2B"/>
          <w:sz w:val="22"/>
        </w:rPr>
        <w:t xml:space="preserve">socializada · </w:t>
      </w:r>
      <w:r>
        <w:rPr>
          <w:rFonts w:ascii="Calibri" w:hAnsi="Calibri"/>
          <w:b/>
          <w:color w:val="2B2B2B"/>
          <w:sz w:val="22"/>
        </w:rPr>
        <w:t>IV.</w:t>
      </w:r>
      <w:r>
        <w:rPr>
          <w:rFonts w:ascii="Calibri" w:hAnsi="Calibri"/>
          <w:b w:val="0"/>
          <w:color w:val="2B2B2B"/>
          <w:sz w:val="22"/>
        </w:rPr>
        <w:t xml:space="preserve"> prototipo de dos capas (canal determinista interpretable + RAG) + arquitectura</w:t>
      </w:r>
    </w:p>
    <w:p>
      <w:r>
        <w:rPr>
          <w:rFonts w:ascii="Calibri" w:hAnsi="Calibri"/>
          <w:b w:val="0"/>
          <w:color w:val="2B2B2B"/>
          <w:sz w:val="22"/>
        </w:rPr>
        <w:t>de referencia y protocolo de tratamiento de datos + definición operativa de riesgo con línea base y</w:t>
      </w:r>
    </w:p>
    <w:p>
      <w:r>
        <w:rPr>
          <w:rFonts w:ascii="Calibri" w:hAnsi="Calibri"/>
          <w:b w:val="0"/>
          <w:color w:val="2B2B2B"/>
          <w:sz w:val="22"/>
        </w:rPr>
        <w:t>conjunto de datos seudonimizado.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Calidad de la propuesta: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la más fuerte de las cinco.</w:t>
      </w:r>
      <w:r>
        <w:rPr>
          <w:rFonts w:ascii="Calibri" w:hAnsi="Calibri"/>
          <w:b w:val="0"/>
          <w:color w:val="2B2B2B"/>
          <w:sz w:val="22"/>
        </w:rPr>
        <w:t xml:space="preserve"> Es la única con umbrales fijados por</w:t>
      </w:r>
    </w:p>
    <w:p>
      <w:r>
        <w:rPr>
          <w:rFonts w:ascii="Calibri" w:hAnsi="Calibri"/>
          <w:b w:val="0"/>
          <w:color w:val="2B2B2B"/>
          <w:sz w:val="22"/>
        </w:rPr>
        <w:t>adelantado, métricas escogidas explícitamente para eventos poco frecuentes, análisis de equidad por</w:t>
      </w:r>
    </w:p>
    <w:p>
      <w:r>
        <w:rPr>
          <w:rFonts w:ascii="Calibri" w:hAnsi="Calibri"/>
          <w:b w:val="0"/>
          <w:color w:val="2B2B2B"/>
          <w:sz w:val="22"/>
        </w:rPr>
        <w:t>subgrupos como indicador y no como discurso, y **dos productos que conservan valor institucional</w:t>
      </w:r>
    </w:p>
    <w:p>
      <w:r>
        <w:rPr>
          <w:rFonts w:ascii="Calibri" w:hAnsi="Calibri"/>
          <w:b w:val="0"/>
          <w:color w:val="2B2B2B"/>
          <w:sz w:val="22"/>
        </w:rPr>
        <w:t>incluso si el prototipo rinde mal** (el conjunto de datos documentado y el protocolo de auditoría).</w:t>
      </w:r>
    </w:p>
    <w:p>
      <w:r>
        <w:rPr>
          <w:rFonts w:ascii="Calibri" w:hAnsi="Calibri"/>
          <w:b w:val="0"/>
          <w:color w:val="2B2B2B"/>
          <w:sz w:val="22"/>
        </w:rPr>
        <w:t>Declara sus hipótesis refutadas como producto entregable y tiene ruta de contingencia con datos</w:t>
      </w:r>
    </w:p>
    <w:p>
      <w:r>
        <w:rPr>
          <w:rFonts w:ascii="Calibri" w:hAnsi="Calibri"/>
          <w:b w:val="0"/>
          <w:color w:val="2B2B2B"/>
          <w:sz w:val="22"/>
        </w:rPr>
        <w:t>sintéticos que se autodescalifica por escrito como evidencia predictiva. Eso es exactamente lo que</w:t>
      </w:r>
    </w:p>
    <w:p>
      <w:r>
        <w:rPr>
          <w:rFonts w:ascii="Calibri" w:hAnsi="Calibri"/>
          <w:b w:val="0"/>
          <w:color w:val="2B2B2B"/>
          <w:sz w:val="22"/>
        </w:rPr>
        <w:t>evalúa "calidad de la propuesta".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Realismo a 12 semanas: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medio.</w:t>
      </w:r>
      <w:r>
        <w:rPr>
          <w:rFonts w:ascii="Calibri" w:hAnsi="Calibri"/>
          <w:b w:val="0"/>
          <w:color w:val="2B2B2B"/>
          <w:sz w:val="22"/>
        </w:rPr>
        <w:t xml:space="preserve"> El trabajo técnico cabe, pero **todo cuelga de una</w:t>
      </w:r>
    </w:p>
    <w:p>
      <w:r>
        <w:rPr>
          <w:rFonts w:ascii="Calibri" w:hAnsi="Calibri"/>
          <w:b w:val="0"/>
          <w:color w:val="2B2B2B"/>
          <w:sz w:val="22"/>
        </w:rPr>
        <w:t>autorización de acceso a datos académicos históricos** que aún no existe, más el aval del Comité de</w:t>
      </w:r>
    </w:p>
    <w:p>
      <w:r>
        <w:rPr>
          <w:rFonts w:ascii="Calibri" w:hAnsi="Calibri"/>
          <w:b w:val="0"/>
          <w:color w:val="2B2B2B"/>
          <w:sz w:val="22"/>
        </w:rPr>
        <w:t>Ética. La contingencia (datos sintéticos) mantiene la ejecución viva pero degrada el resultado a no</w:t>
      </w:r>
    </w:p>
    <w:p>
      <w:r>
        <w:rPr>
          <w:rFonts w:ascii="Calibri" w:hAnsi="Calibri"/>
          <w:b w:val="0"/>
          <w:color w:val="2B2B2B"/>
          <w:sz w:val="22"/>
        </w:rPr>
        <w:t xml:space="preserve">concluyente, y el documento lo dice. Riesgo agravado: </w:t>
      </w:r>
      <w:r>
        <w:rPr>
          <w:rFonts w:ascii="Calibri" w:hAnsi="Calibri"/>
          <w:b/>
          <w:color w:val="2B2B2B"/>
          <w:sz w:val="22"/>
        </w:rPr>
        <w:t>49,4 % del presupuesto</w:t>
      </w:r>
      <w:r>
        <w:rPr>
          <w:rFonts w:ascii="Calibri" w:hAnsi="Calibri"/>
          <w:b w:val="0"/>
          <w:color w:val="2B2B2B"/>
          <w:sz w:val="22"/>
        </w:rPr>
        <w:t xml:space="preserve"> no es verificable</w:t>
      </w:r>
    </w:p>
    <w:p>
      <w:r>
        <w:rPr>
          <w:rFonts w:ascii="Calibri" w:hAnsi="Calibri"/>
          <w:b w:val="0"/>
          <w:color w:val="2B2B2B"/>
          <w:sz w:val="22"/>
        </w:rPr>
        <w:t>contra la tabla ilegible del numeral 6.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[GenIA Docente CUN](Anteproyecto%20-%20GenIA%20Docente%20CUN.docx)</w:t>
      </w:r>
    </w:p>
    <w:p>
      <w:r>
        <w:rPr>
          <w:rFonts w:ascii="Calibri" w:hAnsi="Calibri"/>
          <w:b w:val="0"/>
          <w:color w:val="2B2B2B"/>
          <w:sz w:val="22"/>
        </w:rPr>
        <w:t>*Sistematización y evaluación de un sistema de autoría de material docente asistida por IA generativa,</w:t>
      </w:r>
    </w:p>
    <w:p>
      <w:r>
        <w:rPr>
          <w:rFonts w:ascii="Calibri" w:hAnsi="Calibri"/>
          <w:b w:val="0"/>
          <w:color w:val="2B2B2B"/>
          <w:sz w:val="22"/>
        </w:rPr>
        <w:t>anclado al Syllabus institucional, en cinco cursos de la CUN*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Tipo de propuesta:</w:t>
      </w:r>
      <w:r>
        <w:rPr>
          <w:rFonts w:ascii="Calibri" w:hAnsi="Calibri"/>
          <w:b w:val="0"/>
          <w:color w:val="2B2B2B"/>
          <w:sz w:val="22"/>
        </w:rPr>
        <w:t xml:space="preserve"> Innovación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1</w:t>
      </w:r>
      <w:r>
        <w:rPr>
          <w:rFonts w:ascii="Calibri" w:hAnsi="Calibri"/>
          <w:b w:val="0"/>
          <w:color w:val="2B2B2B"/>
          <w:sz w:val="22"/>
        </w:rPr>
        <w:t xml:space="preserve"> — Línea de Gestión y Tecnologías · </w:t>
      </w:r>
      <w:r>
        <w:rPr>
          <w:rFonts w:ascii="Calibri" w:hAnsi="Calibri"/>
          <w:b/>
          <w:color w:val="2B2B2B"/>
          <w:sz w:val="22"/>
        </w:rPr>
        <w:t>Eje:</w:t>
      </w:r>
      <w:r>
        <w:rPr>
          <w:rFonts w:ascii="Calibri" w:hAnsi="Calibri"/>
          <w:b w:val="0"/>
          <w:color w:val="2B2B2B"/>
          <w:sz w:val="22"/>
        </w:rPr>
        <w:t xml:space="preserve"> Desarrollo de Tecnologías Educativas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Presupuesto: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$2.990.000</w:t>
      </w:r>
      <w:r>
        <w:rPr>
          <w:rFonts w:ascii="Calibri" w:hAnsi="Calibri"/>
          <w:b w:val="0"/>
          <w:color w:val="2B2B2B"/>
          <w:sz w:val="22"/>
        </w:rPr>
        <w:t xml:space="preserve"> — el más bajo (59,8 % del techo), y el documento explica por qué no</w:t>
      </w:r>
    </w:p>
    <w:p>
      <w:r>
        <w:rPr>
          <w:rFonts w:ascii="Calibri" w:hAnsi="Calibri"/>
          <w:b w:val="0"/>
          <w:color w:val="2B2B2B"/>
          <w:sz w:val="22"/>
        </w:rPr>
        <w:t>pide más en lugar de rellenar partidas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Referencias:</w:t>
      </w:r>
      <w:r>
        <w:rPr>
          <w:rFonts w:ascii="Calibri" w:hAnsi="Calibri"/>
          <w:b w:val="0"/>
          <w:color w:val="2B2B2B"/>
          <w:sz w:val="22"/>
        </w:rPr>
        <w:t xml:space="preserve"> 24 (IEEE) · </w:t>
      </w:r>
      <w:r>
        <w:rPr>
          <w:rFonts w:ascii="Calibri" w:hAnsi="Calibri"/>
          <w:b/>
          <w:color w:val="2B2B2B"/>
          <w:sz w:val="22"/>
        </w:rPr>
        <w:t>Resumen:</w:t>
      </w:r>
      <w:r>
        <w:rPr>
          <w:rFonts w:ascii="Calibri" w:hAnsi="Calibri"/>
          <w:b w:val="0"/>
          <w:color w:val="2B2B2B"/>
          <w:sz w:val="22"/>
        </w:rPr>
        <w:t xml:space="preserve"> 197 palabras · </w:t>
      </w:r>
      <w:r>
        <w:rPr>
          <w:rFonts w:ascii="Calibri" w:hAnsi="Calibri"/>
          <w:b/>
          <w:color w:val="2B2B2B"/>
          <w:sz w:val="22"/>
        </w:rPr>
        <w:t>Marco teórico:</w:t>
      </w:r>
      <w:r>
        <w:rPr>
          <w:rFonts w:ascii="Calibri" w:hAnsi="Calibri"/>
          <w:b w:val="0"/>
          <w:color w:val="2B2B2B"/>
          <w:sz w:val="22"/>
        </w:rPr>
        <w:t xml:space="preserve"> 1.773 palabras ·</w:t>
      </w:r>
    </w:p>
    <w:p>
      <w:r>
        <w:rPr>
          <w:rFonts w:ascii="Calibri" w:hAnsi="Calibri"/>
          <w:b/>
          <w:color w:val="2B2B2B"/>
          <w:sz w:val="22"/>
        </w:rPr>
        <w:t>Actividades:</w:t>
      </w:r>
      <w:r>
        <w:rPr>
          <w:rFonts w:ascii="Calibri" w:hAnsi="Calibri"/>
          <w:b w:val="0"/>
          <w:color w:val="2B2B2B"/>
          <w:sz w:val="22"/>
        </w:rPr>
        <w:t xml:space="preserve"> 13, consecutivas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Productos (6, en las 4 tipologías):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I.</w:t>
      </w:r>
      <w:r>
        <w:rPr>
          <w:rFonts w:ascii="Calibri" w:hAnsi="Calibri"/>
          <w:b w:val="0"/>
          <w:color w:val="2B2B2B"/>
          <w:sz w:val="22"/>
        </w:rPr>
        <w:t xml:space="preserve"> rúbrica RCTC-IA validada (validez de contenido con 3</w:t>
      </w:r>
    </w:p>
    <w:p>
      <w:r>
        <w:rPr>
          <w:rFonts w:ascii="Calibri" w:hAnsi="Calibri"/>
          <w:b w:val="0"/>
          <w:color w:val="2B2B2B"/>
          <w:sz w:val="22"/>
        </w:rPr>
        <w:t xml:space="preserve">expertos + α de Krippendorff sobre 30 % del corpus) + manuscrito de resultados · </w:t>
      </w:r>
      <w:r>
        <w:rPr>
          <w:rFonts w:ascii="Calibri" w:hAnsi="Calibri"/>
          <w:b/>
          <w:color w:val="2B2B2B"/>
          <w:sz w:val="22"/>
        </w:rPr>
        <w:t>II.</w:t>
      </w:r>
      <w:r>
        <w:rPr>
          <w:rFonts w:ascii="Calibri" w:hAnsi="Calibri"/>
          <w:b w:val="0"/>
          <w:color w:val="2B2B2B"/>
          <w:sz w:val="22"/>
        </w:rPr>
        <w:t xml:space="preserve"> estudiante</w:t>
      </w:r>
    </w:p>
    <w:p>
      <w:r>
        <w:rPr>
          <w:rFonts w:ascii="Calibri" w:hAnsi="Calibri"/>
          <w:b w:val="0"/>
          <w:color w:val="2B2B2B"/>
          <w:sz w:val="22"/>
        </w:rPr>
        <w:t xml:space="preserve">de semillero certificado como segundo calificador · </w:t>
      </w:r>
      <w:r>
        <w:rPr>
          <w:rFonts w:ascii="Calibri" w:hAnsi="Calibri"/>
          <w:b/>
          <w:color w:val="2B2B2B"/>
          <w:sz w:val="22"/>
        </w:rPr>
        <w:t>III.</w:t>
      </w:r>
      <w:r>
        <w:rPr>
          <w:rFonts w:ascii="Calibri" w:hAnsi="Calibri"/>
          <w:b w:val="0"/>
          <w:color w:val="2B2B2B"/>
          <w:sz w:val="22"/>
        </w:rPr>
        <w:t xml:space="preserve"> guía de adopción y lista de verificación</w:t>
      </w:r>
    </w:p>
    <w:p>
      <w:r>
        <w:rPr>
          <w:rFonts w:ascii="Calibri" w:hAnsi="Calibri"/>
          <w:b w:val="0"/>
          <w:color w:val="2B2B2B"/>
          <w:sz w:val="22"/>
        </w:rPr>
        <w:t xml:space="preserve">de salvaguardas, socializada en taller · </w:t>
      </w:r>
      <w:r>
        <w:rPr>
          <w:rFonts w:ascii="Calibri" w:hAnsi="Calibri"/>
          <w:b/>
          <w:color w:val="2B2B2B"/>
          <w:sz w:val="22"/>
        </w:rPr>
        <w:t>IV.</w:t>
      </w:r>
      <w:r>
        <w:rPr>
          <w:rFonts w:ascii="Calibri" w:hAnsi="Calibri"/>
          <w:b w:val="0"/>
          <w:color w:val="2B2B2B"/>
          <w:sz w:val="22"/>
        </w:rPr>
        <w:t xml:space="preserve"> protocolo técnico-instruccional replicable + corpus</w:t>
      </w:r>
    </w:p>
    <w:p>
      <w:r>
        <w:rPr>
          <w:rFonts w:ascii="Calibri" w:hAnsi="Calibri"/>
          <w:b w:val="0"/>
          <w:color w:val="2B2B2B"/>
          <w:sz w:val="22"/>
        </w:rPr>
        <w:t>de investigación inventariado (50 unidades de sesión con traza de generación).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Calidad de la propuesta:</w:t>
      </w:r>
      <w:r>
        <w:rPr>
          <w:rFonts w:ascii="Calibri" w:hAnsi="Calibri"/>
          <w:b w:val="0"/>
          <w:color w:val="2B2B2B"/>
          <w:sz w:val="22"/>
        </w:rPr>
        <w:t xml:space="preserve"> pega </w:t>
      </w:r>
      <w:r>
        <w:rPr>
          <w:rFonts w:ascii="Calibri" w:hAnsi="Calibri"/>
          <w:b/>
          <w:color w:val="2B2B2B"/>
          <w:sz w:val="22"/>
        </w:rPr>
        <w:t>alto</w:t>
      </w:r>
      <w:r>
        <w:rPr>
          <w:rFonts w:ascii="Calibri" w:hAnsi="Calibri"/>
          <w:b w:val="0"/>
          <w:color w:val="2B2B2B"/>
          <w:sz w:val="22"/>
        </w:rPr>
        <w:t>, por una razón poco común: el artefacto ya existe y opera,</w:t>
      </w:r>
    </w:p>
    <w:p>
      <w:r>
        <w:rPr>
          <w:rFonts w:ascii="Calibri" w:hAnsi="Calibri"/>
          <w:b w:val="0"/>
          <w:color w:val="2B2B2B"/>
          <w:sz w:val="22"/>
        </w:rPr>
        <w:t xml:space="preserve">así que el documento no promete construir nada — promete </w:t>
      </w:r>
      <w:r>
        <w:rPr>
          <w:rFonts w:ascii="Calibri" w:hAnsi="Calibri"/>
          <w:b/>
          <w:color w:val="2B2B2B"/>
          <w:sz w:val="22"/>
        </w:rPr>
        <w:t>medir</w:t>
      </w:r>
      <w:r>
        <w:rPr>
          <w:rFonts w:ascii="Calibri" w:hAnsi="Calibri"/>
          <w:b w:val="0"/>
          <w:color w:val="2B2B2B"/>
          <w:sz w:val="22"/>
        </w:rPr>
        <w:t>, con instrumento validado,</w:t>
      </w:r>
    </w:p>
    <w:p>
      <w:r>
        <w:rPr>
          <w:rFonts w:ascii="Calibri" w:hAnsi="Calibri"/>
          <w:b w:val="0"/>
          <w:color w:val="2B2B2B"/>
          <w:sz w:val="22"/>
        </w:rPr>
        <w:t>evaluación ciega frente a material homólogo sin IA y registro prospectivo del tiempo de producción.</w:t>
      </w:r>
    </w:p>
    <w:p>
      <w:r>
        <w:rPr>
          <w:rFonts w:ascii="Calibri" w:hAnsi="Calibri"/>
          <w:b w:val="0"/>
          <w:color w:val="2B2B2B"/>
          <w:sz w:val="22"/>
        </w:rPr>
        <w:t>Es el modelo de referencia estructural del lote. Su punto débil es de encuadre, no de método: hay</w:t>
      </w:r>
    </w:p>
    <w:p>
      <w:r>
        <w:rPr>
          <w:rFonts w:ascii="Calibri" w:hAnsi="Calibri"/>
          <w:b w:val="0"/>
          <w:color w:val="2B2B2B"/>
          <w:sz w:val="22"/>
        </w:rPr>
        <w:t xml:space="preserve">que sostener ante el evaluador que sistematizar y evaluar un sistema propio </w:t>
      </w:r>
      <w:r>
        <w:rPr>
          <w:rFonts w:ascii="Calibri" w:hAnsi="Calibri"/>
          <w:b/>
          <w:color w:val="2B2B2B"/>
          <w:sz w:val="22"/>
        </w:rPr>
        <w:t>es</w:t>
      </w:r>
      <w:r>
        <w:rPr>
          <w:rFonts w:ascii="Calibri" w:hAnsi="Calibri"/>
          <w:b w:val="0"/>
          <w:color w:val="2B2B2B"/>
          <w:sz w:val="22"/>
        </w:rPr>
        <w:t xml:space="preserve"> innovación</w:t>
      </w:r>
    </w:p>
    <w:p>
      <w:r>
        <w:rPr>
          <w:rFonts w:ascii="Calibri" w:hAnsi="Calibri"/>
          <w:b w:val="0"/>
          <w:color w:val="2B2B2B"/>
          <w:sz w:val="22"/>
        </w:rPr>
        <w:t>evaluable, y el conflicto de interés (autor y evaluado son la misma persona) está declarado con</w:t>
      </w:r>
    </w:p>
    <w:p>
      <w:r>
        <w:rPr>
          <w:rFonts w:ascii="Calibri" w:hAnsi="Calibri"/>
          <w:b w:val="0"/>
          <w:color w:val="2B2B2B"/>
          <w:sz w:val="22"/>
        </w:rPr>
        <w:t>salvaguardas, pero seguirá siendo el primer punto que un par cuestione.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Realismo a 12 semanas: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el más alto de los cinco, con diferencia.</w:t>
      </w:r>
      <w:r>
        <w:rPr>
          <w:rFonts w:ascii="Calibri" w:hAnsi="Calibri"/>
          <w:b w:val="0"/>
          <w:color w:val="2B2B2B"/>
          <w:sz w:val="22"/>
        </w:rPr>
        <w:t xml:space="preserve"> No compra hardware, no</w:t>
      </w:r>
    </w:p>
    <w:p>
      <w:r>
        <w:rPr>
          <w:rFonts w:ascii="Calibri" w:hAnsi="Calibri"/>
          <w:b w:val="0"/>
          <w:color w:val="2B2B2B"/>
          <w:sz w:val="22"/>
        </w:rPr>
        <w:t>depende de una autorización de datos de terceros, no necesita una empresa aliada y no necesita un</w:t>
      </w:r>
    </w:p>
    <w:p>
      <w:r>
        <w:rPr>
          <w:rFonts w:ascii="Calibri" w:hAnsi="Calibri"/>
          <w:b w:val="0"/>
          <w:color w:val="2B2B2B"/>
          <w:sz w:val="22"/>
        </w:rPr>
        <w:t>grupo piloto por definir: el corpus son los cinco cursos que el investigador ya dicta. El</w:t>
      </w:r>
    </w:p>
    <w:p>
      <w:r>
        <w:rPr>
          <w:rFonts w:ascii="Calibri" w:hAnsi="Calibri"/>
          <w:b w:val="0"/>
          <w:color w:val="2B2B2B"/>
          <w:sz w:val="22"/>
        </w:rPr>
        <w:t>cronograma es el único que no tiene una dependencia externa en su ruta crítica.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[Ciberseguridad y Datos en PYMES](Anteproyecto%20-%20Ciberseguridad%20y%20Datos%20en%20PYMES.docx)</w:t>
      </w:r>
    </w:p>
    <w:p>
      <w:r>
        <w:rPr>
          <w:rFonts w:ascii="Calibri" w:hAnsi="Calibri"/>
          <w:b w:val="0"/>
          <w:color w:val="2B2B2B"/>
          <w:sz w:val="22"/>
        </w:rPr>
        <w:t>*Madurez en protección de datos personales y ciberseguridad en pymes aliadas de la CUN: diagnóstico con</w:t>
      </w:r>
    </w:p>
    <w:p>
      <w:r>
        <w:rPr>
          <w:rFonts w:ascii="Calibri" w:hAnsi="Calibri"/>
          <w:b w:val="0"/>
          <w:color w:val="2B2B2B"/>
          <w:sz w:val="22"/>
        </w:rPr>
        <w:t>instrumento validado, modelo de buenas prácticas y prototipo de detección de anomalías sobre registros</w:t>
      </w:r>
    </w:p>
    <w:p>
      <w:r>
        <w:rPr>
          <w:rFonts w:ascii="Calibri" w:hAnsi="Calibri"/>
          <w:b w:val="0"/>
          <w:color w:val="2B2B2B"/>
          <w:sz w:val="22"/>
        </w:rPr>
        <w:t>de acceso*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Tipo de propuesta: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Investigación</w:t>
      </w:r>
      <w:r>
        <w:rPr>
          <w:rFonts w:ascii="Calibri" w:hAnsi="Calibri"/>
          <w:b w:val="0"/>
          <w:color w:val="2B2B2B"/>
          <w:sz w:val="22"/>
        </w:rPr>
        <w:t xml:space="preserve"> *(en Fase 2 se marcó una sola casilla; la ideación decía</w:t>
      </w:r>
    </w:p>
    <w:p>
      <w:r>
        <w:rPr>
          <w:rFonts w:ascii="Calibri" w:hAnsi="Calibri"/>
          <w:b w:val="0"/>
          <w:color w:val="2B2B2B"/>
          <w:sz w:val="22"/>
        </w:rPr>
        <w:t>"Investigación + Proyección Social". El componente de proyección social sigue presente, pero como</w:t>
      </w:r>
    </w:p>
    <w:p>
      <w:r>
        <w:rPr>
          <w:rFonts w:ascii="Calibri" w:hAnsi="Calibri"/>
          <w:b/>
          <w:color w:val="2B2B2B"/>
          <w:sz w:val="22"/>
        </w:rPr>
        <w:t>productos</w:t>
      </w:r>
      <w:r>
        <w:rPr>
          <w:rFonts w:ascii="Calibri" w:hAnsi="Calibri"/>
          <w:b w:val="0"/>
          <w:color w:val="2B2B2B"/>
          <w:sz w:val="22"/>
        </w:rPr>
        <w:t xml:space="preserve"> de apropiación social —cartilla y sesiones de devolución—, no como tipo de propuesta.</w:t>
      </w:r>
    </w:p>
    <w:p>
      <w:r>
        <w:rPr>
          <w:rFonts w:ascii="Calibri" w:hAnsi="Calibri"/>
          <w:b w:val="0"/>
          <w:color w:val="2B2B2B"/>
          <w:sz w:val="22"/>
        </w:rPr>
        <w:t>Tampoco se marcó "Desarrollo de Software": lo que se entrega es un prototipo instrumental.)*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3</w:t>
      </w:r>
      <w:r>
        <w:rPr>
          <w:rFonts w:ascii="Calibri" w:hAnsi="Calibri"/>
          <w:b w:val="0"/>
          <w:color w:val="2B2B2B"/>
          <w:sz w:val="22"/>
        </w:rPr>
        <w:t xml:space="preserve"> — Línea de Responsabilidad Social · </w:t>
      </w:r>
      <w:r>
        <w:rPr>
          <w:rFonts w:ascii="Calibri" w:hAnsi="Calibri"/>
          <w:b/>
          <w:color w:val="2B2B2B"/>
          <w:sz w:val="22"/>
        </w:rPr>
        <w:t>Eje:</w:t>
      </w:r>
      <w:r>
        <w:rPr>
          <w:rFonts w:ascii="Calibri" w:hAnsi="Calibri"/>
          <w:b w:val="0"/>
          <w:color w:val="2B2B2B"/>
          <w:sz w:val="22"/>
        </w:rPr>
        <w:t xml:space="preserve"> Industrias 5.0, Big Data,</w:t>
      </w:r>
    </w:p>
    <w:p>
      <w:r>
        <w:rPr>
          <w:rFonts w:ascii="Calibri" w:hAnsi="Calibri"/>
          <w:b w:val="0"/>
          <w:color w:val="2B2B2B"/>
          <w:sz w:val="22"/>
        </w:rPr>
        <w:t>ciberseguridad y manejo de datos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Presupuesto: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$4.980.000</w:t>
      </w:r>
      <w:r>
        <w:rPr>
          <w:rFonts w:ascii="Calibri" w:hAnsi="Calibri"/>
          <w:b w:val="0"/>
          <w:color w:val="2B2B2B"/>
          <w:sz w:val="22"/>
        </w:rPr>
        <w:t xml:space="preserve"> ($20.000 por debajo del techo)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Referencias:</w:t>
      </w:r>
      <w:r>
        <w:rPr>
          <w:rFonts w:ascii="Calibri" w:hAnsi="Calibri"/>
          <w:b w:val="0"/>
          <w:color w:val="2B2B2B"/>
          <w:sz w:val="22"/>
        </w:rPr>
        <w:t xml:space="preserve"> 25 (IEEE) · </w:t>
      </w:r>
      <w:r>
        <w:rPr>
          <w:rFonts w:ascii="Calibri" w:hAnsi="Calibri"/>
          <w:b/>
          <w:color w:val="2B2B2B"/>
          <w:sz w:val="22"/>
        </w:rPr>
        <w:t>Resumen:</w:t>
      </w:r>
      <w:r>
        <w:rPr>
          <w:rFonts w:ascii="Calibri" w:hAnsi="Calibri"/>
          <w:b w:val="0"/>
          <w:color w:val="2B2B2B"/>
          <w:sz w:val="22"/>
        </w:rPr>
        <w:t xml:space="preserve"> 196 palabras · </w:t>
      </w:r>
      <w:r>
        <w:rPr>
          <w:rFonts w:ascii="Calibri" w:hAnsi="Calibri"/>
          <w:b/>
          <w:color w:val="2B2B2B"/>
          <w:sz w:val="22"/>
        </w:rPr>
        <w:t>Marco teórico:</w:t>
      </w:r>
      <w:r>
        <w:rPr>
          <w:rFonts w:ascii="Calibri" w:hAnsi="Calibri"/>
          <w:b w:val="0"/>
          <w:color w:val="2B2B2B"/>
          <w:sz w:val="22"/>
        </w:rPr>
        <w:t xml:space="preserve"> 1.902 palabras de cuerpo</w:t>
      </w:r>
    </w:p>
    <w:p>
      <w:r>
        <w:rPr>
          <w:rFonts w:ascii="Calibri" w:hAnsi="Calibri"/>
          <w:b w:val="0"/>
          <w:color w:val="2B2B2B"/>
          <w:sz w:val="22"/>
        </w:rPr>
        <w:t>*(el documento declara 1.989; la diferencia es que su conteo incluye los subtítulos de apartado — en</w:t>
      </w:r>
    </w:p>
    <w:p>
      <w:r>
        <w:rPr>
          <w:rFonts w:ascii="Calibri" w:hAnsi="Calibri"/>
          <w:b w:val="0"/>
          <w:color w:val="2B2B2B"/>
          <w:sz w:val="22"/>
        </w:rPr>
        <w:t xml:space="preserve">ambas mediciones queda dentro del rango 1.500–2.000)* · </w:t>
      </w:r>
      <w:r>
        <w:rPr>
          <w:rFonts w:ascii="Calibri" w:hAnsi="Calibri"/>
          <w:b/>
          <w:color w:val="2B2B2B"/>
          <w:sz w:val="22"/>
        </w:rPr>
        <w:t>Actividades: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20</w:t>
      </w:r>
      <w:r>
        <w:rPr>
          <w:rFonts w:ascii="Calibri" w:hAnsi="Calibri"/>
          <w:b w:val="0"/>
          <w:color w:val="2B2B2B"/>
          <w:sz w:val="22"/>
        </w:rPr>
        <w:t>, consecutivas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Productos (9, en las 4 tipologías):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I.</w:t>
      </w:r>
      <w:r>
        <w:rPr>
          <w:rFonts w:ascii="Calibri" w:hAnsi="Calibri"/>
          <w:b w:val="0"/>
          <w:color w:val="2B2B2B"/>
          <w:sz w:val="22"/>
        </w:rPr>
        <w:t xml:space="preserve"> instrumento IDM-Pyme depurado con matriz de</w:t>
      </w:r>
    </w:p>
    <w:p>
      <w:r>
        <w:rPr>
          <w:rFonts w:ascii="Calibri" w:hAnsi="Calibri"/>
          <w:b w:val="0"/>
          <w:color w:val="2B2B2B"/>
          <w:sz w:val="22"/>
        </w:rPr>
        <w:t>correspondencia + informe de diagnóstico de línea base + reporte técnico del detector de anomalías +</w:t>
      </w:r>
    </w:p>
    <w:p>
      <w:r>
        <w:rPr>
          <w:rFonts w:ascii="Calibri" w:hAnsi="Calibri"/>
          <w:b w:val="0"/>
          <w:color w:val="2B2B2B"/>
          <w:sz w:val="22"/>
        </w:rPr>
        <w:t xml:space="preserve">manuscrito · </w:t>
      </w:r>
      <w:r>
        <w:rPr>
          <w:rFonts w:ascii="Calibri" w:hAnsi="Calibri"/>
          <w:b/>
          <w:color w:val="2B2B2B"/>
          <w:sz w:val="22"/>
        </w:rPr>
        <w:t>II.</w:t>
      </w:r>
      <w:r>
        <w:rPr>
          <w:rFonts w:ascii="Calibri" w:hAnsi="Calibri"/>
          <w:b w:val="0"/>
          <w:color w:val="2B2B2B"/>
          <w:sz w:val="22"/>
        </w:rPr>
        <w:t xml:space="preserve"> un solo producto (estudiante de semillero como segundo diagnosticador), y</w:t>
      </w:r>
    </w:p>
    <w:p>
      <w:r>
        <w:rPr>
          <w:rFonts w:ascii="Calibri" w:hAnsi="Calibri"/>
          <w:b w:val="0"/>
          <w:color w:val="2B2B2B"/>
          <w:sz w:val="22"/>
        </w:rPr>
        <w:t xml:space="preserve">declara por escrito que compromete uno solo a propósito · </w:t>
      </w:r>
      <w:r>
        <w:rPr>
          <w:rFonts w:ascii="Calibri" w:hAnsi="Calibri"/>
          <w:b/>
          <w:color w:val="2B2B2B"/>
          <w:sz w:val="22"/>
        </w:rPr>
        <w:t>III.</w:t>
      </w:r>
      <w:r>
        <w:rPr>
          <w:rFonts w:ascii="Calibri" w:hAnsi="Calibri"/>
          <w:b w:val="0"/>
          <w:color w:val="2B2B2B"/>
          <w:sz w:val="22"/>
        </w:rPr>
        <w:t xml:space="preserve"> cartilla en lenguaje no técnico +</w:t>
      </w:r>
    </w:p>
    <w:p>
      <w:r>
        <w:rPr>
          <w:rFonts w:ascii="Calibri" w:hAnsi="Calibri"/>
          <w:b w:val="0"/>
          <w:color w:val="2B2B2B"/>
          <w:sz w:val="22"/>
        </w:rPr>
        <w:t xml:space="preserve">sesión de cierre y devolución por organización · </w:t>
      </w:r>
      <w:r>
        <w:rPr>
          <w:rFonts w:ascii="Calibri" w:hAnsi="Calibri"/>
          <w:b/>
          <w:color w:val="2B2B2B"/>
          <w:sz w:val="22"/>
        </w:rPr>
        <w:t>IV.</w:t>
      </w:r>
      <w:r>
        <w:rPr>
          <w:rFonts w:ascii="Calibri" w:hAnsi="Calibri"/>
          <w:b w:val="0"/>
          <w:color w:val="2B2B2B"/>
          <w:sz w:val="22"/>
        </w:rPr>
        <w:t xml:space="preserve"> modelo de buenas prácticas validado +</w:t>
      </w:r>
    </w:p>
    <w:p>
      <w:r>
        <w:rPr>
          <w:rFonts w:ascii="Calibri" w:hAnsi="Calibri"/>
          <w:b w:val="0"/>
          <w:color w:val="2B2B2B"/>
          <w:sz w:val="22"/>
        </w:rPr>
        <w:t>prototipo de detección de anomalías como cuaderno reproducible.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Calidad de la propuesta:</w:t>
      </w:r>
      <w:r>
        <w:rPr>
          <w:rFonts w:ascii="Calibri" w:hAnsi="Calibri"/>
          <w:b w:val="0"/>
          <w:color w:val="2B2B2B"/>
          <w:sz w:val="22"/>
        </w:rPr>
        <w:t xml:space="preserve"> pega </w:t>
      </w:r>
      <w:r>
        <w:rPr>
          <w:rFonts w:ascii="Calibri" w:hAnsi="Calibri"/>
          <w:b/>
          <w:color w:val="2B2B2B"/>
          <w:sz w:val="22"/>
        </w:rPr>
        <w:t>alto</w:t>
      </w:r>
      <w:r>
        <w:rPr>
          <w:rFonts w:ascii="Calibri" w:hAnsi="Calibri"/>
          <w:b w:val="0"/>
          <w:color w:val="2B2B2B"/>
          <w:sz w:val="22"/>
        </w:rPr>
        <w:t>. Es la de mayor densidad metodológica: cinco hipótesis con</w:t>
      </w:r>
    </w:p>
    <w:p>
      <w:r>
        <w:rPr>
          <w:rFonts w:ascii="Calibri" w:hAnsi="Calibri"/>
          <w:b w:val="0"/>
          <w:color w:val="2B2B2B"/>
          <w:sz w:val="22"/>
        </w:rPr>
        <w:t>umbrales fijados de antemano, validez de contenido por índice de esencialidad, α de Krippendorff con</w:t>
      </w:r>
    </w:p>
    <w:p>
      <w:r>
        <w:rPr>
          <w:rFonts w:ascii="Calibri" w:hAnsi="Calibri"/>
          <w:b w:val="0"/>
          <w:color w:val="2B2B2B"/>
          <w:sz w:val="22"/>
        </w:rPr>
        <w:t>su consecuencia aplicada si no alcanza 0,70, y evaluación del detector contra una referencia</w:t>
      </w:r>
    </w:p>
    <w:p>
      <w:r>
        <w:rPr>
          <w:rFonts w:ascii="Calibri" w:hAnsi="Calibri"/>
          <w:b w:val="0"/>
          <w:color w:val="2B2B2B"/>
          <w:sz w:val="22"/>
        </w:rPr>
        <w:t>estadística sobre anomalías inyectadas de verdad conocida. Además resuelve elegantemente el problema</w:t>
      </w:r>
    </w:p>
    <w:p>
      <w:r>
        <w:rPr>
          <w:rFonts w:ascii="Calibri" w:hAnsi="Calibri"/>
          <w:b w:val="0"/>
          <w:color w:val="2B2B2B"/>
          <w:sz w:val="22"/>
        </w:rPr>
        <w:t xml:space="preserve">de no tener datos reales: </w:t>
      </w:r>
      <w:r>
        <w:rPr>
          <w:rFonts w:ascii="Calibri" w:hAnsi="Calibri"/>
          <w:b/>
          <w:color w:val="2B2B2B"/>
          <w:sz w:val="22"/>
        </w:rPr>
        <w:t>evalúa sobre registros sintéticos y lo declara como límite</w:t>
      </w:r>
      <w:r>
        <w:rPr>
          <w:rFonts w:ascii="Calibri" w:hAnsi="Calibri"/>
          <w:b w:val="0"/>
          <w:color w:val="2B2B2B"/>
          <w:sz w:val="22"/>
        </w:rPr>
        <w:t>, no como</w:t>
      </w:r>
    </w:p>
    <w:p>
      <w:r>
        <w:rPr>
          <w:rFonts w:ascii="Calibri" w:hAnsi="Calibri"/>
          <w:b w:val="0"/>
          <w:color w:val="2B2B2B"/>
          <w:sz w:val="22"/>
        </w:rPr>
        <w:t>hallazgo. Suma en "articulación con sector externo", que puntúa aparte.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Realismo a 12 semanas: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medio-bajo.</w:t>
      </w:r>
      <w:r>
        <w:rPr>
          <w:rFonts w:ascii="Calibri" w:hAnsi="Calibri"/>
          <w:b w:val="0"/>
          <w:color w:val="2B2B2B"/>
          <w:sz w:val="22"/>
        </w:rPr>
        <w:t xml:space="preserve"> 20 actividades es el doble de la mediana del lote, y la</w:t>
      </w:r>
    </w:p>
    <w:p>
      <w:r>
        <w:rPr>
          <w:rFonts w:ascii="Calibri" w:hAnsi="Calibri"/>
          <w:b w:val="0"/>
          <w:color w:val="2B2B2B"/>
          <w:sz w:val="22"/>
        </w:rPr>
        <w:t xml:space="preserve">ruta crítica pasa por </w:t>
      </w:r>
      <w:r>
        <w:rPr>
          <w:rFonts w:ascii="Calibri" w:hAnsi="Calibri"/>
          <w:b/>
          <w:color w:val="2B2B2B"/>
          <w:sz w:val="22"/>
        </w:rPr>
        <w:t>conseguir de 3 a 5 pymes reales</w:t>
      </w:r>
      <w:r>
        <w:rPr>
          <w:rFonts w:ascii="Calibri" w:hAnsi="Calibri"/>
          <w:b w:val="0"/>
          <w:color w:val="2B2B2B"/>
          <w:sz w:val="22"/>
        </w:rPr>
        <w:t xml:space="preserve"> que acepten una visita presencial de</w:t>
      </w:r>
    </w:p>
    <w:p>
      <w:r>
        <w:rPr>
          <w:rFonts w:ascii="Calibri" w:hAnsi="Calibri"/>
          <w:b w:val="0"/>
          <w:color w:val="2B2B2B"/>
          <w:sz w:val="22"/>
        </w:rPr>
        <w:t>diagnóstico y una entrevista. El **Anexo 3 (Carta de Aval e Intención) deja de ser opcional y se</w:t>
      </w:r>
    </w:p>
    <w:p>
      <w:r>
        <w:rPr>
          <w:rFonts w:ascii="Calibri" w:hAnsi="Calibri"/>
          <w:b w:val="0"/>
          <w:color w:val="2B2B2B"/>
          <w:sz w:val="22"/>
        </w:rPr>
        <w:t>vuelve habilitante**, y la identidad de las pymes está por confirmar. Es la única cuyo bloqueo</w:t>
      </w:r>
    </w:p>
    <w:p>
      <w:r>
        <w:rPr>
          <w:rFonts w:ascii="Calibri" w:hAnsi="Calibri"/>
          <w:b w:val="0"/>
          <w:color w:val="2B2B2B"/>
          <w:sz w:val="22"/>
        </w:rPr>
        <w:t>potencial está fuera de la institución.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[Docente Avatar y Telepresencia](Anteproyecto%20-%20Docente%20Avatar%20y%20Telepresencia.docx)</w:t>
      </w:r>
    </w:p>
    <w:p>
      <w:r>
        <w:rPr>
          <w:rFonts w:ascii="Calibri" w:hAnsi="Calibri"/>
          <w:b w:val="0"/>
          <w:color w:val="2B2B2B"/>
          <w:sz w:val="22"/>
        </w:rPr>
        <w:t>*Docente Avatar CUN: diseño, implementación y evaluación de un piloto de asistente audiovisual</w:t>
      </w:r>
    </w:p>
    <w:p>
      <w:r>
        <w:rPr>
          <w:rFonts w:ascii="Calibri" w:hAnsi="Calibri"/>
          <w:b w:val="0"/>
          <w:color w:val="2B2B2B"/>
          <w:sz w:val="22"/>
        </w:rPr>
        <w:t>generativo como complemento en una asignatura virtual*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Tipo de propuesta:</w:t>
      </w:r>
      <w:r>
        <w:rPr>
          <w:rFonts w:ascii="Calibri" w:hAnsi="Calibri"/>
          <w:b w:val="0"/>
          <w:color w:val="2B2B2B"/>
          <w:sz w:val="22"/>
        </w:rPr>
        <w:t xml:space="preserve"> Innovación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Grupo Temático 2</w:t>
      </w:r>
      <w:r>
        <w:rPr>
          <w:rFonts w:ascii="Calibri" w:hAnsi="Calibri"/>
          <w:b w:val="0"/>
          <w:color w:val="2B2B2B"/>
          <w:sz w:val="22"/>
        </w:rPr>
        <w:t xml:space="preserve"> — Línea de Innovación Pedagógica · </w:t>
      </w:r>
      <w:r>
        <w:rPr>
          <w:rFonts w:ascii="Calibri" w:hAnsi="Calibri"/>
          <w:b/>
          <w:color w:val="2B2B2B"/>
          <w:sz w:val="22"/>
        </w:rPr>
        <w:t>Eje:</w:t>
      </w:r>
      <w:r>
        <w:rPr>
          <w:rFonts w:ascii="Calibri" w:hAnsi="Calibri"/>
          <w:b w:val="0"/>
          <w:color w:val="2B2B2B"/>
          <w:sz w:val="22"/>
        </w:rPr>
        <w:t xml:space="preserve"> Docente Avatar y Telepresencia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Presupuesto: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$4.120.000</w:t>
      </w:r>
      <w:r>
        <w:rPr>
          <w:rFonts w:ascii="Calibri" w:hAnsi="Calibri"/>
          <w:b w:val="0"/>
          <w:color w:val="2B2B2B"/>
          <w:sz w:val="22"/>
        </w:rPr>
        <w:t xml:space="preserve"> (82 % del techo)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Referencias:</w:t>
      </w:r>
      <w:r>
        <w:rPr>
          <w:rFonts w:ascii="Calibri" w:hAnsi="Calibri"/>
          <w:b w:val="0"/>
          <w:color w:val="2B2B2B"/>
          <w:sz w:val="22"/>
        </w:rPr>
        <w:t xml:space="preserve"> 25 (IEEE) · </w:t>
      </w:r>
      <w:r>
        <w:rPr>
          <w:rFonts w:ascii="Calibri" w:hAnsi="Calibri"/>
          <w:b/>
          <w:color w:val="2B2B2B"/>
          <w:sz w:val="22"/>
        </w:rPr>
        <w:t>Resumen:</w:t>
      </w:r>
      <w:r>
        <w:rPr>
          <w:rFonts w:ascii="Calibri" w:hAnsi="Calibri"/>
          <w:b w:val="0"/>
          <w:color w:val="2B2B2B"/>
          <w:sz w:val="22"/>
        </w:rPr>
        <w:t xml:space="preserve"> 197 palabras · </w:t>
      </w:r>
      <w:r>
        <w:rPr>
          <w:rFonts w:ascii="Calibri" w:hAnsi="Calibri"/>
          <w:b/>
          <w:color w:val="2B2B2B"/>
          <w:sz w:val="22"/>
        </w:rPr>
        <w:t>Marco teórico:</w:t>
      </w:r>
      <w:r>
        <w:rPr>
          <w:rFonts w:ascii="Calibri" w:hAnsi="Calibri"/>
          <w:b w:val="0"/>
          <w:color w:val="2B2B2B"/>
          <w:sz w:val="22"/>
        </w:rPr>
        <w:t xml:space="preserve"> 1.804 palabras de cuerpo</w:t>
      </w:r>
    </w:p>
    <w:p>
      <w:r>
        <w:rPr>
          <w:rFonts w:ascii="Calibri" w:hAnsi="Calibri"/>
          <w:b w:val="0"/>
          <w:color w:val="2B2B2B"/>
          <w:sz w:val="22"/>
        </w:rPr>
        <w:t xml:space="preserve">*(el documento declara 1.779; ambas mediciones dentro del rango)* · </w:t>
      </w:r>
      <w:r>
        <w:rPr>
          <w:rFonts w:ascii="Calibri" w:hAnsi="Calibri"/>
          <w:b/>
          <w:color w:val="2B2B2B"/>
          <w:sz w:val="22"/>
        </w:rPr>
        <w:t>Actividades:</w:t>
      </w:r>
      <w:r>
        <w:rPr>
          <w:rFonts w:ascii="Calibri" w:hAnsi="Calibri"/>
          <w:b w:val="0"/>
          <w:color w:val="2B2B2B"/>
          <w:sz w:val="22"/>
        </w:rPr>
        <w:t xml:space="preserve"> 12, consecutivas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Productos (6, en las 4 tipologías):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I.</w:t>
      </w:r>
      <w:r>
        <w:rPr>
          <w:rFonts w:ascii="Calibri" w:hAnsi="Calibri"/>
          <w:b w:val="0"/>
          <w:color w:val="2B2B2B"/>
          <w:sz w:val="22"/>
        </w:rPr>
        <w:t xml:space="preserve"> informe técnico del piloto con tamaños de efecto ·</w:t>
      </w:r>
    </w:p>
    <w:p>
      <w:r>
        <w:rPr>
          <w:rFonts w:ascii="Calibri" w:hAnsi="Calibri"/>
          <w:b/>
          <w:color w:val="2B2B2B"/>
          <w:sz w:val="22"/>
        </w:rPr>
        <w:t>II.</w:t>
      </w:r>
      <w:r>
        <w:rPr>
          <w:rFonts w:ascii="Calibri" w:hAnsi="Calibri"/>
          <w:b w:val="0"/>
          <w:color w:val="2B2B2B"/>
          <w:sz w:val="22"/>
        </w:rPr>
        <w:t xml:space="preserve"> estudiante de semillero certificado · </w:t>
      </w:r>
      <w:r>
        <w:rPr>
          <w:rFonts w:ascii="Calibri" w:hAnsi="Calibri"/>
          <w:b/>
          <w:color w:val="2B2B2B"/>
          <w:sz w:val="22"/>
        </w:rPr>
        <w:t>III.</w:t>
      </w:r>
      <w:r>
        <w:rPr>
          <w:rFonts w:ascii="Calibri" w:hAnsi="Calibri"/>
          <w:b w:val="0"/>
          <w:color w:val="2B2B2B"/>
          <w:sz w:val="22"/>
        </w:rPr>
        <w:t xml:space="preserve"> protocolo ético-jurídico (autorización de</w:t>
      </w:r>
    </w:p>
    <w:p>
      <w:r>
        <w:rPr>
          <w:rFonts w:ascii="Calibri" w:hAnsi="Calibri"/>
          <w:b w:val="0"/>
          <w:color w:val="2B2B2B"/>
          <w:sz w:val="22"/>
        </w:rPr>
        <w:t>imagen y voz expresa, revocable y delimitada; rótulo de transparencia; lista de verificación de</w:t>
      </w:r>
    </w:p>
    <w:p>
      <w:r>
        <w:rPr>
          <w:rFonts w:ascii="Calibri" w:hAnsi="Calibri"/>
          <w:b w:val="0"/>
          <w:color w:val="2B2B2B"/>
          <w:sz w:val="22"/>
        </w:rPr>
        <w:t xml:space="preserve">exactitud) + guía de buenas prácticas y límites éticos validada en taller · </w:t>
      </w:r>
      <w:r>
        <w:rPr>
          <w:rFonts w:ascii="Calibri" w:hAnsi="Calibri"/>
          <w:b/>
          <w:color w:val="2B2B2B"/>
          <w:sz w:val="22"/>
        </w:rPr>
        <w:t>IV.</w:t>
      </w:r>
      <w:r>
        <w:rPr>
          <w:rFonts w:ascii="Calibri" w:hAnsi="Calibri"/>
          <w:b w:val="0"/>
          <w:color w:val="2B2B2B"/>
          <w:sz w:val="22"/>
        </w:rPr>
        <w:t xml:space="preserve"> arquitectura de</w:t>
      </w:r>
    </w:p>
    <w:p>
      <w:r>
        <w:rPr>
          <w:rFonts w:ascii="Calibri" w:hAnsi="Calibri"/>
          <w:b w:val="0"/>
          <w:color w:val="2B2B2B"/>
          <w:sz w:val="22"/>
        </w:rPr>
        <w:t>referencia con prueba de concepto y costo real por minuto + prototipo desplegado en aula virtual</w:t>
      </w:r>
    </w:p>
    <w:p>
      <w:r>
        <w:rPr>
          <w:rFonts w:ascii="Calibri" w:hAnsi="Calibri"/>
          <w:b w:val="0"/>
          <w:color w:val="2B2B2B"/>
          <w:sz w:val="22"/>
        </w:rPr>
        <w:t>(≥ 30 minutos rotulados + asistente con respuesta citada a la fuente).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Calidad de la propuesta:</w:t>
      </w:r>
      <w:r>
        <w:rPr>
          <w:rFonts w:ascii="Calibri" w:hAnsi="Calibri"/>
          <w:b w:val="0"/>
          <w:color w:val="2B2B2B"/>
          <w:sz w:val="22"/>
        </w:rPr>
        <w:t xml:space="preserve"> pega </w:t>
      </w:r>
      <w:r>
        <w:rPr>
          <w:rFonts w:ascii="Calibri" w:hAnsi="Calibri"/>
          <w:b/>
          <w:color w:val="2B2B2B"/>
          <w:sz w:val="22"/>
        </w:rPr>
        <w:t>medio-alto</w:t>
      </w:r>
      <w:r>
        <w:rPr>
          <w:rFonts w:ascii="Calibri" w:hAnsi="Calibri"/>
          <w:b w:val="0"/>
          <w:color w:val="2B2B2B"/>
          <w:sz w:val="22"/>
        </w:rPr>
        <w:t>. Lo mejor que tiene es lo que casi nadie escribe: un</w:t>
      </w:r>
    </w:p>
    <w:p>
      <w:r>
        <w:rPr>
          <w:rFonts w:ascii="Calibri" w:hAnsi="Calibri"/>
          <w:b w:val="0"/>
          <w:color w:val="2B2B2B"/>
          <w:sz w:val="22"/>
        </w:rPr>
        <w:t>marco de agentes pedagógicos con cuatro décadas de evidencia que **modera la expectativa en lugar de</w:t>
      </w:r>
    </w:p>
    <w:p>
      <w:r>
        <w:rPr>
          <w:rFonts w:ascii="Calibri" w:hAnsi="Calibri"/>
          <w:b w:val="0"/>
          <w:color w:val="2B2B2B"/>
          <w:sz w:val="22"/>
        </w:rPr>
        <w:t>inflarla**, y un protocolo ético-jurídico que es un producto en sí mismo y no un anexo de trámite —</w:t>
      </w:r>
    </w:p>
    <w:p>
      <w:r>
        <w:rPr>
          <w:rFonts w:ascii="Calibri" w:hAnsi="Calibri"/>
          <w:b w:val="0"/>
          <w:color w:val="2B2B2B"/>
          <w:sz w:val="22"/>
        </w:rPr>
        <w:t>ese instrumento habilita o niega solicitudes futuras del mismo tipo en la institución. Es la más</w:t>
      </w:r>
    </w:p>
    <w:p>
      <w:r>
        <w:rPr>
          <w:rFonts w:ascii="Calibri" w:hAnsi="Calibri"/>
          <w:b w:val="0"/>
          <w:color w:val="2B2B2B"/>
          <w:sz w:val="22"/>
        </w:rPr>
        <w:t>interdisciplinar. Su techo lo pone la naturaleza del objeto: un piloto de una unidad temática en una</w:t>
      </w:r>
    </w:p>
    <w:p>
      <w:r>
        <w:rPr>
          <w:rFonts w:ascii="Calibri" w:hAnsi="Calibri"/>
          <w:b w:val="0"/>
          <w:color w:val="2B2B2B"/>
          <w:sz w:val="22"/>
        </w:rPr>
        <w:t>asignatura da evidencia sugerente, no concluyente, y el documento no pretende lo contrario.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Realismo a 12 semanas: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medio-alto.</w:t>
      </w:r>
      <w:r>
        <w:rPr>
          <w:rFonts w:ascii="Calibri" w:hAnsi="Calibri"/>
          <w:b w:val="0"/>
          <w:color w:val="2B2B2B"/>
          <w:sz w:val="22"/>
        </w:rPr>
        <w:t xml:space="preserve"> No compra hardware de despliegue ni depende de terceros</w:t>
      </w:r>
    </w:p>
    <w:p>
      <w:r>
        <w:rPr>
          <w:rFonts w:ascii="Calibri" w:hAnsi="Calibri"/>
          <w:b w:val="0"/>
          <w:color w:val="2B2B2B"/>
          <w:sz w:val="22"/>
        </w:rPr>
        <w:t>externos, y el investigador es el docente titular. Pero tiene tres dependencias reales: el **aval del</w:t>
      </w:r>
    </w:p>
    <w:p>
      <w:r>
        <w:rPr>
          <w:rFonts w:ascii="Calibri" w:hAnsi="Calibri"/>
          <w:b w:val="0"/>
          <w:color w:val="2B2B2B"/>
          <w:sz w:val="22"/>
        </w:rPr>
        <w:t>Comité de Ética** es habilitante (se trabaja con imagen y voz de una persona identificable y con</w:t>
      </w:r>
    </w:p>
    <w:p>
      <w:r>
        <w:rPr>
          <w:rFonts w:ascii="Calibri" w:hAnsi="Calibri"/>
          <w:b w:val="0"/>
          <w:color w:val="2B2B2B"/>
          <w:sz w:val="22"/>
        </w:rPr>
        <w:t>estudiantes), la asignatura y el grupo piloto están por confirmar con la dirección de programa, y</w:t>
      </w:r>
    </w:p>
    <w:p>
      <w:r>
        <w:rPr>
          <w:rFonts w:ascii="Calibri" w:hAnsi="Calibri"/>
          <w:b w:val="0"/>
          <w:color w:val="2B2B2B"/>
          <w:sz w:val="22"/>
        </w:rPr>
        <w:t>**el 55,3 % del presupuesto son servicios de IA y cómputo cuyos precios comerciales hay que verificar</w:t>
      </w:r>
    </w:p>
    <w:p>
      <w:r>
        <w:rPr>
          <w:rFonts w:ascii="Calibri" w:hAnsi="Calibri"/>
          <w:b w:val="0"/>
          <w:color w:val="2B2B2B"/>
          <w:sz w:val="22"/>
        </w:rPr>
        <w:t>antes de comprometerlos**.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Tabla comparativa — Fase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Anteproyecto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Grupo · Eje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Presupuesto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% del techo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Refs.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Resumen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Marco teórico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Act.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Productos I / II / III / IV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Calidad de la propuesta</w:t>
            </w:r>
          </w:p>
        </w:tc>
        <w:tc>
          <w:tcPr>
            <w:tcW w:type="dxa" w:w="753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Realismo a 12 semanas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Trazabilidad IoT-IA de Espacios CUN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 Software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GT1 · TIC e IoT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$5.000.000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100,0 %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199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1.675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2 / 1 / </w:t>
            </w:r>
            <w:r>
              <w:rPr>
                <w:rFonts w:ascii="Calibri" w:hAnsi="Calibri"/>
                <w:b/>
                <w:color w:val="2B2B2B"/>
                <w:sz w:val="20"/>
              </w:rPr>
              <w:t>0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/ 2 = </w:t>
            </w:r>
            <w:r>
              <w:rPr>
                <w:rFonts w:ascii="Calibri" w:hAnsi="Calibri"/>
                <w:b/>
                <w:color w:val="2B2B2B"/>
                <w:sz w:val="20"/>
              </w:rPr>
              <w:t>5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Medio-alto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Bajo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compra e instalación de hardware en 2 sedes en la ruta crítica</w:t>
            </w:r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Asistente IA Riesgo Académico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Desarrollo de Software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GT1 · IA y Tecn. Emergentes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$3.850.000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77,0 %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30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199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1.958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14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2 / 1 / 1 / 3 = </w:t>
            </w:r>
            <w:r>
              <w:rPr>
                <w:rFonts w:ascii="Calibri" w:hAnsi="Calibri"/>
                <w:b/>
                <w:color w:val="2B2B2B"/>
                <w:sz w:val="20"/>
              </w:rPr>
              <w:t>7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Alto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el más riguroso del lote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Medio — depende de autorización de datos + Comité de Ética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GenIA Docente CUN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Innovación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GT1 · Tecnologías Educativas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$2.990.000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59,8 %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197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1.773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13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2 / 1 / 1 / 2 = </w:t>
            </w:r>
            <w:r>
              <w:rPr>
                <w:rFonts w:ascii="Calibri" w:hAnsi="Calibri"/>
                <w:b/>
                <w:color w:val="2B2B2B"/>
                <w:sz w:val="20"/>
              </w:rPr>
              <w:t>6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Alto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mide en vez de prometer construir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Alto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sin dependencias externas en la ruta crítica</w:t>
            </w:r>
          </w:p>
        </w:tc>
      </w:tr>
      <w:tr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Ciberseguridad y Datos en PYMES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Investigación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GT3 · Big Data / ciberseguridad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$4.980.000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99,6 %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196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1.902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20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4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/ 1 / 2 / 2 = </w:t>
            </w:r>
            <w:r>
              <w:rPr>
                <w:rFonts w:ascii="Calibri" w:hAnsi="Calibri"/>
                <w:b/>
                <w:color w:val="2B2B2B"/>
                <w:sz w:val="20"/>
              </w:rPr>
              <w:t>9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Alto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mayor densidad metodológica</w:t>
            </w:r>
          </w:p>
        </w:tc>
        <w:tc>
          <w:tcPr>
            <w:tcW w:type="dxa" w:w="753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Medio-bajo — 3 a 5 pymes reales + Anexo 3 habilitante</w:t>
            </w:r>
          </w:p>
        </w:tc>
      </w:tr>
      <w:tr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Docente Avatar y Telepresencia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Innovación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GT2 · Innovación Pedagógica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$4.120.000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82,4 %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25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197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1.804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1 / 1 / 2 / 2 = </w:t>
            </w:r>
            <w:r>
              <w:rPr>
                <w:rFonts w:ascii="Calibri" w:hAnsi="Calibri"/>
                <w:b/>
                <w:color w:val="2B2B2B"/>
                <w:sz w:val="20"/>
              </w:rPr>
              <w:t>6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Medio-alto</w:t>
            </w:r>
          </w:p>
        </w:tc>
        <w:tc>
          <w:tcPr>
            <w:tcW w:type="dxa" w:w="753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Medio-alto — Comité de Ética + grupo piloto por confirmar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Tipologías Minciencias:</w:t>
      </w:r>
      <w:r>
        <w:rPr>
          <w:rFonts w:ascii="Calibri" w:hAnsi="Calibri"/>
          <w:b w:val="0"/>
          <w:color w:val="2B2B2B"/>
          <w:sz w:val="22"/>
        </w:rPr>
        <w:t xml:space="preserve"> I = generación de nuevo conocimiento · II = formación de recurso humano en</w:t>
      </w:r>
    </w:p>
    <w:p>
      <w:r>
        <w:rPr>
          <w:rFonts w:ascii="Calibri" w:hAnsi="Calibri"/>
          <w:b w:val="0"/>
          <w:color w:val="2B2B2B"/>
          <w:sz w:val="22"/>
        </w:rPr>
        <w:t>CTeI · III = apropiación social del conocimiento · IV = desarrollo tecnológico e innovación. Cuatro de</w:t>
      </w:r>
    </w:p>
    <w:p>
      <w:r>
        <w:rPr>
          <w:rFonts w:ascii="Calibri" w:hAnsi="Calibri"/>
          <w:b w:val="0"/>
          <w:color w:val="2B2B2B"/>
          <w:sz w:val="22"/>
        </w:rPr>
        <w:t>las cinco comprometen las cuatro tipologías; la 1 omite III y lo argumenta por escrito. **Ninguna de</w:t>
      </w:r>
    </w:p>
    <w:p>
      <w:r>
        <w:rPr>
          <w:rFonts w:ascii="Calibri" w:hAnsi="Calibri"/>
          <w:b w:val="0"/>
          <w:color w:val="2B2B2B"/>
          <w:sz w:val="22"/>
        </w:rPr>
        <w:t>las cinco compromete divulgación pública de la ciencia**, y las cinco explican que en 12 semanas ese</w:t>
      </w:r>
    </w:p>
    <w:p>
      <w:r>
        <w:rPr>
          <w:rFonts w:ascii="Calibri" w:hAnsi="Calibri"/>
          <w:b w:val="0"/>
          <w:color w:val="2B2B2B"/>
          <w:sz w:val="22"/>
        </w:rPr>
        <w:t>producto sería el mismo informe o cartilla con otro rótulo — es una omisión deliberada y coherente,</w:t>
      </w:r>
    </w:p>
    <w:p>
      <w:r>
        <w:rPr>
          <w:rFonts w:ascii="Calibri" w:hAnsi="Calibri"/>
          <w:b w:val="0"/>
          <w:color w:val="2B2B2B"/>
          <w:sz w:val="22"/>
        </w:rPr>
        <w:t>no un descuido.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Monto de talento humano y cómputo sin verificar contra la tabla del numeral 6</w:t>
      </w:r>
    </w:p>
    <w:p>
      <w:r>
        <w:rPr>
          <w:rFonts w:ascii="Calibri" w:hAnsi="Calibri"/>
          <w:b w:val="0"/>
          <w:color w:val="2B2B2B"/>
          <w:sz w:val="22"/>
        </w:rPr>
        <w:t>La tabla de rubros financiables está incrustada como imagen y no se puede leer, así que ningún rubro de</w:t>
      </w:r>
    </w:p>
    <w:p>
      <w:r>
        <w:rPr>
          <w:rFonts w:ascii="Calibri" w:hAnsi="Calibri"/>
          <w:b w:val="0"/>
          <w:color w:val="2B2B2B"/>
          <w:sz w:val="22"/>
        </w:rPr>
        <w:t>bonificación a auxiliares puede declararse elegible. Lo que cada anteproyecto pone en riesgo: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#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Anteproyecto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Monto no verificado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% del presupuesto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¿Declarado en sus pendientes?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Asistente IA Riesgo Académico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$1.900.000 (auxiliar $900.000 + cómputo/API $1.000.000)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49,4 %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Sí (pendiente 9)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Trazabilidad IoT-IA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$1.400.000 (dos auxiliares)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28,0 %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Sí (pendiente 7)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GenIA Docente CUN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$700.000 (un auxiliar)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23,4 %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No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— ver "Qué falta antes de radicar"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Ciberseguridad y Datos en PYMES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$900.000 (un auxiliar)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18,1 %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Sí (pendiente 8)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Docente Avatar y Telepresencia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$700.000 (un auxiliar)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17,0 %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Sí (pendiente 10)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Recomendación, con criterio</w:t>
      </w:r>
    </w:p>
    <w:p>
      <w:r>
        <w:rPr>
          <w:rFonts w:ascii="Calibri" w:hAnsi="Calibri"/>
          <w:b w:val="0"/>
          <w:color w:val="2B2B2B"/>
          <w:sz w:val="22"/>
        </w:rPr>
        <w:t>El ranking cambió respecto a la versión de Fase 1, y cambió porque ahora hay documentos completos que</w:t>
      </w:r>
    </w:p>
    <w:p>
      <w:r>
        <w:rPr>
          <w:rFonts w:ascii="Calibri" w:hAnsi="Calibri"/>
          <w:b w:val="0"/>
          <w:color w:val="2B2B2B"/>
          <w:sz w:val="22"/>
        </w:rPr>
        <w:t>se pueden comparar en vez de ideas que se podían imaginar.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GenIA Docente CUN (3)</w:t>
      </w:r>
      <w:r>
        <w:rPr>
          <w:rFonts w:ascii="Calibri" w:hAnsi="Calibri"/>
          <w:b w:val="0"/>
          <w:color w:val="2B2B2B"/>
          <w:sz w:val="22"/>
        </w:rPr>
        <w:t xml:space="preserve"> — sigue siendo la primera, y ahora por una razón más fuerte que "el</w:t>
      </w:r>
    </w:p>
    <w:p>
      <w:r>
        <w:rPr>
          <w:rFonts w:ascii="Calibri" w:hAnsi="Calibri"/>
          <w:b w:val="0"/>
          <w:color w:val="2B2B2B"/>
          <w:sz w:val="22"/>
        </w:rPr>
        <w:t>sistema ya existe": es la única cuyo cronograma no tiene una dependencia externa en la ruta</w:t>
      </w:r>
    </w:p>
    <w:p>
      <w:r>
        <w:rPr>
          <w:rFonts w:ascii="Calibri" w:hAnsi="Calibri"/>
          <w:b w:val="0"/>
          <w:color w:val="2B2B2B"/>
          <w:sz w:val="22"/>
        </w:rPr>
        <w:t>crítica, y pide el 59,8 % del techo justificando por qué no pide más. Riesgo de no entregar:</w:t>
      </w:r>
    </w:p>
    <w:p>
      <w:r>
        <w:rPr>
          <w:rFonts w:ascii="Calibri" w:hAnsi="Calibri"/>
          <w:b w:val="0"/>
          <w:color w:val="2B2B2B"/>
          <w:sz w:val="22"/>
        </w:rPr>
        <w:t>mínimo. Lo que hay que trabajar es el encuadre del conflicto de interés, no el método.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Asistente IA Riesgo Académico (2)</w:t>
      </w:r>
      <w:r>
        <w:rPr>
          <w:rFonts w:ascii="Calibri" w:hAnsi="Calibri"/>
          <w:b w:val="0"/>
          <w:color w:val="2B2B2B"/>
          <w:sz w:val="22"/>
        </w:rPr>
        <w:t xml:space="preserve"> — subió. Es la de mayor calidad metodológica del lote y la que</w:t>
      </w:r>
    </w:p>
    <w:p>
      <w:r>
        <w:rPr>
          <w:rFonts w:ascii="Calibri" w:hAnsi="Calibri"/>
          <w:b w:val="0"/>
          <w:color w:val="2B2B2B"/>
          <w:sz w:val="22"/>
        </w:rPr>
        <w:t>mejor resiste una revisión por pares hostil, porque sus dos productos de mayor valor institucional</w:t>
      </w:r>
    </w:p>
    <w:p>
      <w:r>
        <w:rPr>
          <w:rFonts w:ascii="Calibri" w:hAnsi="Calibri"/>
          <w:b w:val="0"/>
          <w:color w:val="2B2B2B"/>
          <w:sz w:val="22"/>
        </w:rPr>
        <w:t>(el conjunto de datos documentado y el protocolo de auditoría de atribución) **se entregan incluso</w:t>
      </w:r>
    </w:p>
    <w:p>
      <w:r>
        <w:rPr>
          <w:rFonts w:ascii="Calibri" w:hAnsi="Calibri"/>
          <w:b w:val="0"/>
          <w:color w:val="2B2B2B"/>
          <w:sz w:val="22"/>
        </w:rPr>
        <w:t>si el prototipo rinde mal**. Su riesgo es de permiso, no de ejecución: sin autorización de acceso a</w:t>
      </w:r>
    </w:p>
    <w:p>
      <w:r>
        <w:rPr>
          <w:rFonts w:ascii="Calibri" w:hAnsi="Calibri"/>
          <w:b w:val="0"/>
          <w:color w:val="2B2B2B"/>
          <w:sz w:val="22"/>
        </w:rPr>
        <w:t>datos históricos cae a la ruta sintética, que el propio documento declara no concluyente.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Ciberseguridad y Datos en PYMES (4)</w:t>
      </w:r>
      <w:r>
        <w:rPr>
          <w:rFonts w:ascii="Calibri" w:hAnsi="Calibri"/>
          <w:b w:val="0"/>
          <w:color w:val="2B2B2B"/>
          <w:sz w:val="22"/>
        </w:rPr>
        <w:t xml:space="preserve"> — la más densa metodológicamente y la que mejor puntúa en</w:t>
      </w:r>
    </w:p>
    <w:p>
      <w:r>
        <w:rPr>
          <w:rFonts w:ascii="Calibri" w:hAnsi="Calibri"/>
          <w:b w:val="0"/>
          <w:color w:val="2B2B2B"/>
          <w:sz w:val="22"/>
        </w:rPr>
        <w:t>articulación con sector externo, pero con 20 actividades y una dependencia de terceros fuera de la</w:t>
      </w:r>
    </w:p>
    <w:p>
      <w:r>
        <w:rPr>
          <w:rFonts w:ascii="Calibri" w:hAnsi="Calibri"/>
          <w:b w:val="0"/>
          <w:color w:val="2B2B2B"/>
          <w:sz w:val="22"/>
        </w:rPr>
        <w:t>institución. Si ya hay una pyme aliada real y dispuesta, sube al segundo lugar sin discusión.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Docente Avatar y Telepresencia (5)</w:t>
      </w:r>
      <w:r>
        <w:rPr>
          <w:rFonts w:ascii="Calibri" w:hAnsi="Calibri"/>
          <w:b w:val="0"/>
          <w:color w:val="2B2B2B"/>
          <w:sz w:val="22"/>
        </w:rPr>
        <w:t xml:space="preserve"> — sólida y honesta sobre su propio techo de evidencia. Su</w:t>
      </w:r>
    </w:p>
    <w:p>
      <w:r>
        <w:rPr>
          <w:rFonts w:ascii="Calibri" w:hAnsi="Calibri"/>
          <w:b w:val="0"/>
          <w:color w:val="2B2B2B"/>
          <w:sz w:val="22"/>
        </w:rPr>
        <w:t>protocolo ético-jurídico tiene valor institucional aunque el piloto rinda poco.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Trazabilidad IoT-IA (1)</w:t>
      </w:r>
      <w:r>
        <w:rPr>
          <w:rFonts w:ascii="Calibri" w:hAnsi="Calibri"/>
          <w:b w:val="0"/>
          <w:color w:val="2B2B2B"/>
          <w:sz w:val="22"/>
        </w:rPr>
        <w:t xml:space="preserve"> — la más expuesta: única que compra hardware, único presupuesto sin</w:t>
      </w:r>
    </w:p>
    <w:p>
      <w:r>
        <w:rPr>
          <w:rFonts w:ascii="Calibri" w:hAnsi="Calibri"/>
          <w:b w:val="0"/>
          <w:color w:val="2B2B2B"/>
          <w:sz w:val="22"/>
        </w:rPr>
        <w:t>colchón (pide el techo exacto) y única que no compromete una de las cuatro tipologías. Es defendible</w:t>
      </w:r>
    </w:p>
    <w:p>
      <w:r>
        <w:rPr>
          <w:rFonts w:ascii="Calibri" w:hAnsi="Calibri"/>
          <w:b w:val="0"/>
          <w:color w:val="2B2B2B"/>
          <w:sz w:val="22"/>
        </w:rPr>
        <w:t>y está bien escrita; simplemente es la que más cosas tienen que salir bien a tiempo.</w:t>
      </w:r>
    </w:p>
    <w:p>
      <w:r>
        <w:rPr>
          <w:rFonts w:ascii="Calibri" w:hAnsi="Calibri"/>
          <w:b w:val="0"/>
          <w:color w:val="2B2B2B"/>
          <w:sz w:val="22"/>
        </w:rPr>
        <w:t xml:space="preserve">Si solo se radica una: </w:t>
      </w:r>
      <w:r>
        <w:rPr>
          <w:rFonts w:ascii="Calibri" w:hAnsi="Calibri"/>
          <w:b/>
          <w:color w:val="2B2B2B"/>
          <w:sz w:val="22"/>
        </w:rPr>
        <w:t>la 3</w:t>
      </w:r>
      <w:r>
        <w:rPr>
          <w:rFonts w:ascii="Calibri" w:hAnsi="Calibri"/>
          <w:b w:val="0"/>
          <w:color w:val="2B2B2B"/>
          <w:sz w:val="22"/>
        </w:rPr>
        <w:t>. Si se radican dos y la institución acepta dos del mismo investigador</w:t>
      </w:r>
    </w:p>
    <w:p>
      <w:r>
        <w:rPr>
          <w:rFonts w:ascii="Calibri" w:hAnsi="Calibri"/>
          <w:b w:val="0"/>
          <w:color w:val="2B2B2B"/>
          <w:sz w:val="22"/>
        </w:rPr>
        <w:t xml:space="preserve">principal —lo cual </w:t>
      </w:r>
      <w:r>
        <w:rPr>
          <w:rFonts w:ascii="Calibri" w:hAnsi="Calibri"/>
          <w:b/>
          <w:color w:val="2B2B2B"/>
          <w:sz w:val="22"/>
        </w:rPr>
        <w:t>no está resuelto</w:t>
      </w:r>
      <w:r>
        <w:rPr>
          <w:rFonts w:ascii="Calibri" w:hAnsi="Calibri"/>
          <w:b w:val="0"/>
          <w:color w:val="2B2B2B"/>
          <w:sz w:val="22"/>
        </w:rPr>
        <w:t xml:space="preserve">, ver más abajo—: </w:t>
      </w:r>
      <w:r>
        <w:rPr>
          <w:rFonts w:ascii="Calibri" w:hAnsi="Calibri"/>
          <w:b/>
          <w:color w:val="2B2B2B"/>
          <w:sz w:val="22"/>
        </w:rPr>
        <w:t>3 y 2</w:t>
      </w:r>
      <w:r>
        <w:rPr>
          <w:rFonts w:ascii="Calibri" w:hAnsi="Calibri"/>
          <w:b w:val="0"/>
          <w:color w:val="2B2B2B"/>
          <w:sz w:val="22"/>
        </w:rPr>
        <w:t>, que se complementan (una mide un</w:t>
      </w:r>
    </w:p>
    <w:p>
      <w:r>
        <w:rPr>
          <w:rFonts w:ascii="Calibri" w:hAnsi="Calibri"/>
          <w:b w:val="0"/>
          <w:color w:val="2B2B2B"/>
          <w:sz w:val="22"/>
        </w:rPr>
        <w:t>artefacto existente, la otra construye uno nuevo con validación retrospectiva) y no comparten</w:t>
      </w:r>
    </w:p>
    <w:p>
      <w:r>
        <w:rPr>
          <w:rFonts w:ascii="Calibri" w:hAnsi="Calibri"/>
          <w:b w:val="0"/>
          <w:color w:val="2B2B2B"/>
          <w:sz w:val="22"/>
        </w:rPr>
        <w:t>productos comprometidos.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Qué falta antes de radicar</w:t>
      </w:r>
    </w:p>
    <w:p>
      <w:r>
        <w:rPr>
          <w:rFonts w:ascii="Calibri" w:hAnsi="Calibri"/>
          <w:b w:val="0"/>
          <w:color w:val="2B2B2B"/>
          <w:sz w:val="22"/>
        </w:rPr>
        <w:t xml:space="preserve">Esto es lo que la auditoría de esta corrida dejó explícitamente </w:t>
      </w:r>
      <w:r>
        <w:rPr>
          <w:rFonts w:ascii="Calibri" w:hAnsi="Calibri"/>
          <w:b/>
          <w:color w:val="2B2B2B"/>
          <w:sz w:val="22"/>
        </w:rPr>
        <w:t>sin corregir</w:t>
      </w:r>
      <w:r>
        <w:rPr>
          <w:rFonts w:ascii="Calibri" w:hAnsi="Calibri"/>
          <w:b w:val="0"/>
          <w:color w:val="2B2B2B"/>
          <w:sz w:val="22"/>
        </w:rPr>
        <w:t>, porque no se resuelve</w:t>
      </w:r>
    </w:p>
    <w:p>
      <w:r>
        <w:rPr>
          <w:rFonts w:ascii="Calibri" w:hAnsi="Calibri"/>
          <w:b w:val="0"/>
          <w:color w:val="2B2B2B"/>
          <w:sz w:val="22"/>
        </w:rPr>
        <w:t>escribiendo: son decisiones del investigador, autorizaciones de terceros o respuestas de la DNI. Cada</w:t>
      </w:r>
    </w:p>
    <w:p>
      <w:r>
        <w:rPr>
          <w:rFonts w:ascii="Calibri" w:hAnsi="Calibri"/>
          <w:b w:val="0"/>
          <w:color w:val="2B2B2B"/>
          <w:sz w:val="22"/>
        </w:rPr>
        <w:t>uno está declarado además en los pendientes del anteproyecto correspondiente. **No hay plazos en esta</w:t>
      </w:r>
    </w:p>
    <w:p>
      <w:r>
        <w:rPr>
          <w:rFonts w:ascii="Calibri" w:hAnsi="Calibri"/>
          <w:b w:val="0"/>
          <w:color w:val="2B2B2B"/>
          <w:sz w:val="22"/>
        </w:rPr>
        <w:t>lista**: el cronograma oficial del numeral 9 está vencido y esa consulta ya está planteada.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Decisiones del investigador o de la institución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Adscripción a un grupo de investigación CUN.</w:t>
      </w:r>
      <w:r>
        <w:rPr>
          <w:rFonts w:ascii="Calibri" w:hAnsi="Calibri"/>
          <w:b w:val="0"/>
          <w:color w:val="2B2B2B"/>
          <w:sz w:val="22"/>
        </w:rPr>
        <w:t xml:space="preserve"> Los cinco lo dejan "por confirmar" o "por definir".</w:t>
      </w:r>
    </w:p>
    <w:p>
      <w:r>
        <w:rPr>
          <w:rFonts w:ascii="Calibri" w:hAnsi="Calibri"/>
          <w:b w:val="0"/>
          <w:color w:val="2B2B2B"/>
          <w:sz w:val="22"/>
        </w:rPr>
        <w:t xml:space="preserve">El Parágrafo 3 del numeral 5.1 </w:t>
      </w:r>
      <w:r>
        <w:rPr>
          <w:rFonts w:ascii="Calibri" w:hAnsi="Calibri"/>
          <w:b/>
          <w:color w:val="2B2B2B"/>
          <w:sz w:val="22"/>
        </w:rPr>
        <w:t>prioriza</w:t>
      </w:r>
      <w:r>
        <w:rPr>
          <w:rFonts w:ascii="Calibri" w:hAnsi="Calibri"/>
          <w:b w:val="0"/>
          <w:color w:val="2B2B2B"/>
          <w:sz w:val="22"/>
        </w:rPr>
        <w:t xml:space="preserve"> la financiación de propuestas con docente investigador</w:t>
      </w:r>
    </w:p>
    <w:p>
      <w:r>
        <w:rPr>
          <w:rFonts w:ascii="Calibri" w:hAnsi="Calibri"/>
          <w:b w:val="0"/>
          <w:color w:val="2B2B2B"/>
          <w:sz w:val="22"/>
        </w:rPr>
        <w:t>de grupo, así que esto no es un trámite: cuesta prioridad en la evaluación. Exige decidir la</w:t>
      </w:r>
    </w:p>
    <w:p>
      <w:r>
        <w:rPr>
          <w:rFonts w:ascii="Calibri" w:hAnsi="Calibri"/>
          <w:b w:val="0"/>
          <w:color w:val="2B2B2B"/>
          <w:sz w:val="22"/>
        </w:rPr>
        <w:t>adscripción y conocer el procedimiento de vinculación del CvLAC al GrupLAC.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Cuántas propuestas se radican, y cuáles.</w:t>
      </w:r>
      <w:r>
        <w:rPr>
          <w:rFonts w:ascii="Calibri" w:hAnsi="Calibri"/>
          <w:b w:val="0"/>
          <w:color w:val="2B2B2B"/>
          <w:sz w:val="22"/>
        </w:rPr>
        <w:t xml:space="preserve"> Los Términos de Referencia no limitan el número de</w:t>
      </w:r>
    </w:p>
    <w:p>
      <w:r>
        <w:rPr>
          <w:rFonts w:ascii="Calibri" w:hAnsi="Calibri"/>
          <w:b w:val="0"/>
          <w:color w:val="2B2B2B"/>
          <w:sz w:val="22"/>
        </w:rPr>
        <w:t>propuestas por investigador principal, pero tampoco lo autorizan expresamente, y varias de 12</w:t>
      </w:r>
    </w:p>
    <w:p>
      <w:r>
        <w:rPr>
          <w:rFonts w:ascii="Calibri" w:hAnsi="Calibri"/>
          <w:b w:val="0"/>
          <w:color w:val="2B2B2B"/>
          <w:sz w:val="22"/>
        </w:rPr>
        <w:t>semanas en paralelo compiten por la misma descarga horaria. Está declarado como pendiente en las</w:t>
      </w:r>
    </w:p>
    <w:p>
      <w:r>
        <w:rPr>
          <w:rFonts w:ascii="Calibri" w:hAnsi="Calibri"/>
          <w:b w:val="0"/>
          <w:color w:val="2B2B2B"/>
          <w:sz w:val="22"/>
        </w:rPr>
        <w:t>propuestas 2, 3 y 4.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Programa piloto de la propuesta 2.</w:t>
      </w:r>
      <w:r>
        <w:rPr>
          <w:rFonts w:ascii="Calibri" w:hAnsi="Calibri"/>
          <w:b w:val="0"/>
          <w:color w:val="2B2B2B"/>
          <w:sz w:val="22"/>
        </w:rPr>
        <w:t xml:space="preserve"> La ficha dice "se acuerda con la dirección de programa; la</w:t>
      </w:r>
    </w:p>
    <w:p>
      <w:r>
        <w:rPr>
          <w:rFonts w:ascii="Calibri" w:hAnsi="Calibri"/>
          <w:b w:val="0"/>
          <w:color w:val="2B2B2B"/>
          <w:sz w:val="22"/>
        </w:rPr>
        <w:t>opción prevista es Ingeniería de Sistemas". De esa elección dependen el conjunto de datos, la</w:t>
      </w:r>
    </w:p>
    <w:p>
      <w:r>
        <w:rPr>
          <w:rFonts w:ascii="Calibri" w:hAnsi="Calibri"/>
          <w:b w:val="0"/>
          <w:color w:val="2B2B2B"/>
          <w:sz w:val="22"/>
        </w:rPr>
        <w:t>prevalencia, la línea base y todas las métricas.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Asignatura y grupo piloto de la propuesta 5</w:t>
      </w:r>
      <w:r>
        <w:rPr>
          <w:rFonts w:ascii="Calibri" w:hAnsi="Calibri"/>
          <w:b w:val="0"/>
          <w:color w:val="2B2B2B"/>
          <w:sz w:val="22"/>
        </w:rPr>
        <w:t>, con la dirección de programa.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Sede regional y segunda pasarela de borde de la propuesta 1</w:t>
      </w:r>
      <w:r>
        <w:rPr>
          <w:rFonts w:ascii="Calibri" w:hAnsi="Calibri"/>
          <w:b w:val="0"/>
          <w:color w:val="2B2B2B"/>
          <w:sz w:val="22"/>
        </w:rPr>
        <w:t xml:space="preserve"> — decisión de arquitectura y de</w:t>
      </w:r>
    </w:p>
    <w:p>
      <w:r>
        <w:rPr>
          <w:rFonts w:ascii="Calibri" w:hAnsi="Calibri"/>
          <w:b w:val="0"/>
          <w:color w:val="2B2B2B"/>
          <w:sz w:val="22"/>
        </w:rPr>
        <w:t>despliegue.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Identidad de las pymes participantes de la propuesta 4</w:t>
      </w:r>
      <w:r>
        <w:rPr>
          <w:rFonts w:ascii="Calibri" w:hAnsi="Calibri"/>
          <w:b w:val="0"/>
          <w:color w:val="2B2B2B"/>
          <w:sz w:val="22"/>
        </w:rPr>
        <w:t xml:space="preserve"> (3 a 5), y con ellas el **Anexo 3, Carta</w:t>
      </w:r>
    </w:p>
    <w:p>
      <w:r>
        <w:rPr>
          <w:rFonts w:ascii="Calibri" w:hAnsi="Calibri"/>
          <w:b w:val="0"/>
          <w:color w:val="2B2B2B"/>
          <w:sz w:val="22"/>
        </w:rPr>
        <w:t>de Aval e Intención, que para esa propuesta es habilitante y no opcional.**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Decisión presupuestal sobre los rubros no verificables</w:t>
      </w:r>
      <w:r>
        <w:rPr>
          <w:rFonts w:ascii="Calibri" w:hAnsi="Calibri"/>
          <w:b w:val="0"/>
          <w:color w:val="2B2B2B"/>
          <w:sz w:val="22"/>
        </w:rPr>
        <w:t xml:space="preserve"> (mantener, reasignar o consultar), con el</w:t>
      </w:r>
    </w:p>
    <w:p>
      <w:r>
        <w:rPr>
          <w:rFonts w:ascii="Calibri" w:hAnsi="Calibri"/>
          <w:b w:val="0"/>
          <w:color w:val="2B2B2B"/>
          <w:sz w:val="22"/>
        </w:rPr>
        <w:t xml:space="preserve">caso más expuesto en la propuesta 2: </w:t>
      </w:r>
      <w:r>
        <w:rPr>
          <w:rFonts w:ascii="Calibri" w:hAnsi="Calibri"/>
          <w:b/>
          <w:color w:val="2B2B2B"/>
          <w:sz w:val="22"/>
        </w:rPr>
        <w:t>49,4 % del presupuesto</w:t>
      </w:r>
      <w:r>
        <w:rPr>
          <w:rFonts w:ascii="Calibri" w:hAnsi="Calibri"/>
          <w:b w:val="0"/>
          <w:color w:val="2B2B2B"/>
          <w:sz w:val="22"/>
        </w:rPr>
        <w:t>. Ver la tabla de la sección anterior.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Verificación comercial de precios de servicios de IA y cómputo</w:t>
      </w:r>
      <w:r>
        <w:rPr>
          <w:rFonts w:ascii="Calibri" w:hAnsi="Calibri"/>
          <w:b w:val="0"/>
          <w:color w:val="2B2B2B"/>
          <w:sz w:val="22"/>
        </w:rPr>
        <w:t xml:space="preserve"> antes de comprometer el</w:t>
      </w:r>
    </w:p>
    <w:p>
      <w:r>
        <w:rPr>
          <w:rFonts w:ascii="Calibri" w:hAnsi="Calibri"/>
          <w:b w:val="0"/>
          <w:color w:val="2B2B2B"/>
          <w:sz w:val="22"/>
        </w:rPr>
        <w:t>presupuesto de la propuesta 5, donde son el 55,3 % del total.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Autorizaciones y avales de terceros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Autorización de acceso a datos académicos históricos</w:t>
      </w:r>
      <w:r>
        <w:rPr>
          <w:rFonts w:ascii="Calibri" w:hAnsi="Calibri"/>
          <w:b w:val="0"/>
          <w:color w:val="2B2B2B"/>
          <w:sz w:val="22"/>
        </w:rPr>
        <w:t xml:space="preserve"> para la propuesta 2. Es su riesgo</w:t>
      </w:r>
    </w:p>
    <w:p>
      <w:r>
        <w:rPr>
          <w:rFonts w:ascii="Calibri" w:hAnsi="Calibri"/>
          <w:b w:val="0"/>
          <w:color w:val="2B2B2B"/>
          <w:sz w:val="22"/>
        </w:rPr>
        <w:t>principal: sin ella se activa la ruta de datos sintéticos, que el documento declara por escrito</w:t>
      </w:r>
    </w:p>
    <w:p>
      <w:r>
        <w:rPr>
          <w:rFonts w:ascii="Calibri" w:hAnsi="Calibri"/>
          <w:b w:val="0"/>
          <w:color w:val="2B2B2B"/>
          <w:sz w:val="22"/>
        </w:rPr>
        <w:t xml:space="preserve">como </w:t>
      </w:r>
      <w:r>
        <w:rPr>
          <w:rFonts w:ascii="Calibri" w:hAnsi="Calibri"/>
          <w:b/>
          <w:color w:val="2B2B2B"/>
          <w:sz w:val="22"/>
        </w:rPr>
        <w:t>no constitutiva de evidencia predictiva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Aval del Comité de Ética de la Investigación Institucional</w:t>
      </w:r>
      <w:r>
        <w:rPr>
          <w:rFonts w:ascii="Calibri" w:hAnsi="Calibri"/>
          <w:b w:val="0"/>
          <w:color w:val="2B2B2B"/>
          <w:sz w:val="22"/>
        </w:rPr>
        <w:t>, habilitante para las propuestas 2</w:t>
      </w:r>
    </w:p>
    <w:p>
      <w:r>
        <w:rPr>
          <w:rFonts w:ascii="Calibri" w:hAnsi="Calibri"/>
          <w:b w:val="0"/>
          <w:color w:val="2B2B2B"/>
          <w:sz w:val="22"/>
        </w:rPr>
        <w:t>(datos personales de estudiantes) y 5 (imagen y voz de persona identificable + estudiantes).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Consultas a la DNI — estado del correo</w:t>
      </w:r>
    </w:p>
    <w:p>
      <w:r>
        <w:rPr>
          <w:rFonts w:ascii="Consolas" w:hAnsi="Consolas"/>
          <w:color w:val="111111"/>
          <w:sz w:val="21"/>
        </w:rPr>
        <w:t>Correo a la DNI - consultas previas a la radicacion.md</w:t>
      </w:r>
      <w:r>
        <w:rPr>
          <w:rFonts w:ascii="Calibri" w:hAnsi="Calibri"/>
          <w:b w:val="0"/>
          <w:color w:val="2B2B2B"/>
          <w:sz w:val="22"/>
        </w:rPr>
        <w:t xml:space="preserve"> plantea hoy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consultas: el cronograma</w:t>
      </w:r>
    </w:p>
    <w:p>
      <w:r>
        <w:rPr>
          <w:rFonts w:ascii="Calibri" w:hAnsi="Calibri"/>
          <w:b w:val="0"/>
          <w:color w:val="2B2B2B"/>
          <w:sz w:val="22"/>
        </w:rPr>
        <w:t>vigente y el alcance del requisito de CvLAC (con el procedimiento de vinculación al GrupLAC dentro de</w:t>
      </w:r>
    </w:p>
    <w:p>
      <w:r>
        <w:rPr>
          <w:rFonts w:ascii="Calibri" w:hAnsi="Calibri"/>
          <w:b w:val="0"/>
          <w:color w:val="2B2B2B"/>
          <w:sz w:val="22"/>
        </w:rPr>
        <w:t>la segunda). Ese es el estado real del borrador, y los anteproyectos que remiten a él lo hacen</w:t>
      </w:r>
    </w:p>
    <w:p>
      <w:r>
        <w:rPr>
          <w:rFonts w:ascii="Calibri" w:hAnsi="Calibri"/>
          <w:b w:val="0"/>
          <w:color w:val="2B2B2B"/>
          <w:sz w:val="22"/>
        </w:rPr>
        <w:t>correctamente.</w:t>
      </w:r>
    </w:p>
    <w:p>
      <w:r>
        <w:rPr>
          <w:rFonts w:ascii="Calibri" w:hAnsi="Calibri"/>
          <w:b w:val="0"/>
          <w:color w:val="2B2B2B"/>
          <w:sz w:val="22"/>
        </w:rPr>
        <w:t>**Faltan por agregar a ese correo, antes de enviarlo, dos consultas que los anteproyectos necesitan</w:t>
      </w:r>
    </w:p>
    <w:p>
      <w:r>
        <w:rPr>
          <w:rFonts w:ascii="Calibri" w:hAnsi="Calibri"/>
          <w:b w:val="0"/>
          <w:color w:val="2B2B2B"/>
          <w:sz w:val="22"/>
        </w:rPr>
        <w:t>respondidas:**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(a)</w:t>
      </w:r>
      <w:r>
        <w:rPr>
          <w:rFonts w:ascii="Calibri" w:hAnsi="Calibri"/>
          <w:b w:val="0"/>
          <w:color w:val="2B2B2B"/>
          <w:sz w:val="22"/>
        </w:rPr>
        <w:t xml:space="preserve"> El </w:t>
      </w:r>
      <w:r>
        <w:rPr>
          <w:rFonts w:ascii="Calibri" w:hAnsi="Calibri"/>
          <w:b/>
          <w:color w:val="2B2B2B"/>
          <w:sz w:val="22"/>
        </w:rPr>
        <w:t>número de propuestas admisibles por investigador principal</w:t>
      </w:r>
      <w:r>
        <w:rPr>
          <w:rFonts w:ascii="Calibri" w:hAnsi="Calibri"/>
          <w:b w:val="0"/>
          <w:color w:val="2B2B2B"/>
          <w:sz w:val="22"/>
        </w:rPr>
        <w:t xml:space="preserve"> y la compatibilidad de</w:t>
      </w:r>
    </w:p>
    <w:p>
      <w:r>
        <w:rPr>
          <w:rFonts w:ascii="Calibri" w:hAnsi="Calibri"/>
          <w:b w:val="0"/>
          <w:color w:val="2B2B2B"/>
          <w:sz w:val="22"/>
        </w:rPr>
        <w:t>varias ejecuciones de 12 semanas en paralelo con la descarga horaria disponible.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(b)</w:t>
      </w:r>
      <w:r>
        <w:rPr>
          <w:rFonts w:ascii="Calibri" w:hAnsi="Calibri"/>
          <w:b w:val="0"/>
          <w:color w:val="2B2B2B"/>
          <w:sz w:val="22"/>
        </w:rPr>
        <w:t xml:space="preserve"> La </w:t>
      </w:r>
      <w:r>
        <w:rPr>
          <w:rFonts w:ascii="Calibri" w:hAnsi="Calibri"/>
          <w:b/>
          <w:color w:val="2B2B2B"/>
          <w:sz w:val="22"/>
        </w:rPr>
        <w:t>financiabilidad de los rubros de talento humano y de cómputo</w:t>
      </w:r>
      <w:r>
        <w:rPr>
          <w:rFonts w:ascii="Calibri" w:hAnsi="Calibri"/>
          <w:b w:val="0"/>
          <w:color w:val="2B2B2B"/>
          <w:sz w:val="22"/>
        </w:rPr>
        <w:t xml:space="preserve"> contra la tabla del</w:t>
      </w:r>
    </w:p>
    <w:p>
      <w:r>
        <w:rPr>
          <w:rFonts w:ascii="Calibri" w:hAnsi="Calibri"/>
          <w:b w:val="0"/>
          <w:color w:val="2B2B2B"/>
          <w:sz w:val="22"/>
        </w:rPr>
        <w:t>numeral 6, que está incrustada como imagen y no se puede leer. Es la consulta de mayor impacto</w:t>
      </w:r>
    </w:p>
    <w:p>
      <w:r>
        <w:rPr>
          <w:rFonts w:ascii="Calibri" w:hAnsi="Calibri"/>
          <w:b w:val="0"/>
          <w:color w:val="2B2B2B"/>
          <w:sz w:val="22"/>
        </w:rPr>
        <w:t>económico del lote.</w:t>
      </w:r>
    </w:p>
    <w:p>
      <w:r>
        <w:rPr>
          <w:rFonts w:ascii="Calibri" w:hAnsi="Calibri"/>
          <w:b w:val="0"/>
          <w:color w:val="2B2B2B"/>
          <w:sz w:val="22"/>
        </w:rPr>
        <w:t>También siguen pendientes de confirmación con la DNI, aunque no requieran un correo aparte, la</w:t>
      </w:r>
    </w:p>
    <w:p>
      <w:r>
        <w:rPr>
          <w:rFonts w:ascii="Calibri" w:hAnsi="Calibri"/>
          <w:b/>
          <w:color w:val="2B2B2B"/>
          <w:sz w:val="22"/>
        </w:rPr>
        <w:t>descarga horaria aprobada</w:t>
      </w:r>
      <w:r>
        <w:rPr>
          <w:rFonts w:ascii="Calibri" w:hAnsi="Calibri"/>
          <w:b w:val="0"/>
          <w:color w:val="2B2B2B"/>
          <w:sz w:val="22"/>
        </w:rPr>
        <w:t xml:space="preserve"> y la </w:t>
      </w:r>
      <w:r>
        <w:rPr>
          <w:rFonts w:ascii="Calibri" w:hAnsi="Calibri"/>
          <w:b/>
          <w:color w:val="2B2B2B"/>
          <w:sz w:val="22"/>
        </w:rPr>
        <w:t>ausencia de pendientes de convocatorias anteriores</w:t>
      </w:r>
      <w:r>
        <w:rPr>
          <w:rFonts w:ascii="Calibri" w:hAnsi="Calibri"/>
          <w:b w:val="0"/>
          <w:color w:val="2B2B2B"/>
          <w:sz w:val="22"/>
        </w:rPr>
        <w:t xml:space="preserve"> (numeral 5.1).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Defectos que este índice no puede cerrar por sí solo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>**La propuesta 3 (GenIA) no declara en sus pendientes el rubro de talento humano como no</w:t>
      </w:r>
    </w:p>
    <w:p>
      <w:r>
        <w:rPr>
          <w:rFonts w:ascii="Calibri" w:hAnsi="Calibri"/>
          <w:b w:val="0"/>
          <w:color w:val="2B2B2B"/>
          <w:sz w:val="22"/>
        </w:rPr>
        <w:t>verificado contra la tabla del numeral 6**, a diferencia de las otras cuatro. Su presupuesto sí</w:t>
      </w:r>
    </w:p>
    <w:p>
      <w:r>
        <w:rPr>
          <w:rFonts w:ascii="Calibri" w:hAnsi="Calibri"/>
          <w:b w:val="0"/>
          <w:color w:val="2B2B2B"/>
          <w:sz w:val="22"/>
        </w:rPr>
        <w:t xml:space="preserve">asigna $700.000 a bonificación de un auxiliar de semillero, el </w:t>
      </w:r>
      <w:r>
        <w:rPr>
          <w:rFonts w:ascii="Calibri" w:hAnsi="Calibri"/>
          <w:b/>
          <w:color w:val="2B2B2B"/>
          <w:sz w:val="22"/>
        </w:rPr>
        <w:t>23,4 %</w:t>
      </w:r>
      <w:r>
        <w:rPr>
          <w:rFonts w:ascii="Calibri" w:hAnsi="Calibri"/>
          <w:b w:val="0"/>
          <w:color w:val="2B2B2B"/>
          <w:sz w:val="22"/>
        </w:rPr>
        <w:t xml:space="preserve"> del total solicitado. No</w:t>
      </w:r>
    </w:p>
    <w:p>
      <w:r>
        <w:rPr>
          <w:rFonts w:ascii="Calibri" w:hAnsi="Calibri"/>
          <w:b w:val="0"/>
          <w:color w:val="2B2B2B"/>
          <w:sz w:val="22"/>
        </w:rPr>
        <w:t>es un error de cálculo ni afecta el cierre aritmético del presupuesto, pero es una asimetría de</w:t>
      </w:r>
    </w:p>
    <w:p>
      <w:r>
        <w:rPr>
          <w:rFonts w:ascii="Calibri" w:hAnsi="Calibri"/>
          <w:b w:val="0"/>
          <w:color w:val="2B2B2B"/>
          <w:sz w:val="22"/>
        </w:rPr>
        <w:t>declaración frente a sus cuatro hermanas y conviene igualarla antes de radicar.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Metadatos bibliográficos sin verificar contra el registro del editor.</w:t>
      </w:r>
      <w:r>
        <w:rPr>
          <w:rFonts w:ascii="Calibri" w:hAnsi="Calibri"/>
          <w:b w:val="0"/>
          <w:color w:val="2B2B2B"/>
          <w:sz w:val="22"/>
        </w:rPr>
        <w:t xml:space="preserve"> Ninguna de las cinco</w:t>
      </w:r>
    </w:p>
    <w:p>
      <w:r>
        <w:rPr>
          <w:rFonts w:ascii="Calibri" w:hAnsi="Calibri"/>
          <w:b w:val="0"/>
          <w:color w:val="2B2B2B"/>
          <w:sz w:val="22"/>
        </w:rPr>
        <w:t>listas de referencias fue confirmada entrada por entrada contra la fuente del editor; las obras son</w:t>
      </w:r>
    </w:p>
    <w:p>
      <w:r>
        <w:rPr>
          <w:rFonts w:ascii="Calibri" w:hAnsi="Calibri"/>
          <w:b w:val="0"/>
          <w:color w:val="2B2B2B"/>
          <w:sz w:val="22"/>
        </w:rPr>
        <w:t>reales, pero hay entradas con año o URL/fecha de consulta incompletos (la propuesta 2 lo declara</w:t>
      </w:r>
    </w:p>
    <w:p>
      <w:r>
        <w:rPr>
          <w:rFonts w:ascii="Calibri" w:hAnsi="Calibri"/>
          <w:b w:val="0"/>
          <w:color w:val="2B2B2B"/>
          <w:sz w:val="22"/>
        </w:rPr>
        <w:t>como su pendiente 13, con las entradas afectadas nombradas). Esa verificación la hace el</w:t>
      </w:r>
    </w:p>
    <w:p>
      <w:r>
        <w:rPr>
          <w:rFonts w:ascii="Calibri" w:hAnsi="Calibri"/>
          <w:b w:val="0"/>
          <w:color w:val="2B2B2B"/>
          <w:sz w:val="22"/>
        </w:rPr>
        <w:t xml:space="preserve">investigador y </w:t>
      </w:r>
      <w:r>
        <w:rPr>
          <w:rFonts w:ascii="Calibri" w:hAnsi="Calibri"/>
          <w:b/>
          <w:color w:val="2B2B2B"/>
          <w:sz w:val="22"/>
        </w:rPr>
        <w:t>no debe declararse como hecha mientras no lo esté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Verificación normativa pendiente antes de cerrar el marco teórico de la propuesta 4</w:t>
      </w:r>
      <w:r>
        <w:rPr>
          <w:rFonts w:ascii="Calibri" w:hAnsi="Calibri"/>
          <w:b w:val="0"/>
          <w:color w:val="2B2B2B"/>
          <w:sz w:val="22"/>
        </w:rPr>
        <w:t xml:space="preserve"> (vigencia y</w:t>
      </w:r>
    </w:p>
    <w:p>
      <w:r>
        <w:rPr>
          <w:rFonts w:ascii="Calibri" w:hAnsi="Calibri"/>
          <w:b w:val="0"/>
          <w:color w:val="2B2B2B"/>
          <w:sz w:val="22"/>
        </w:rPr>
        <w:t>numeración exacta de la normativa colombiana de protección de datos citada).</w:t>
      </w:r>
    </w:p>
    <w:p>
      <w:r>
        <w:rPr>
          <w:rFonts w:ascii="Calibri" w:hAnsi="Calibri"/>
          <w:b w:val="0"/>
          <w:color w:val="2B2B2B"/>
          <w:sz w:val="22"/>
        </w:rPr>
        <w:t>*Documento de trabajo. Los cinco anteproyectos y este índice se generan a .docx con</w:t>
      </w:r>
    </w:p>
    <w:p>
      <w:r>
        <w:rPr>
          <w:rFonts w:ascii="Consolas" w:hAnsi="Consolas"/>
          <w:color w:val="111111"/>
          <w:sz w:val="21"/>
        </w:rPr>
        <w:t>python Investigacion/build_documento.py "Investigacion/Propuestas 2026/&lt;archivo&gt;.md"</w:t>
      </w:r>
      <w:r>
        <w:rPr>
          <w:rFonts w:ascii="Calibri" w:hAnsi="Calibri"/>
          <w:b w:val="0"/>
          <w:color w:val="2B2B2B"/>
          <w:sz w:val="22"/>
        </w:rPr>
        <w:t>, ejecutado desde</w:t>
      </w:r>
    </w:p>
    <w:p>
      <w:r>
        <w:rPr>
          <w:rFonts w:ascii="Consolas" w:hAnsi="Consolas"/>
          <w:color w:val="111111"/>
          <w:sz w:val="21"/>
        </w:rPr>
        <w:t>Cursos/</w:t>
      </w:r>
      <w:r>
        <w:rPr>
          <w:rFonts w:ascii="Calibri" w:hAnsi="Calibri"/>
          <w:b w:val="0"/>
          <w:color w:val="2B2B2B"/>
          <w:sz w:val="22"/>
        </w:rPr>
        <w:t xml:space="preserve"> como directorio de trabajo.*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Vigilada Mineducación · Material de curso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