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Madurez en protección de datos personales y ciberseguridad en pymes aliadas de la CUN: diagnóstico con instrumento validado, modelo de buenas prácticas y prototipo de detección de anomalías sobre registros de acceso</w:t>
      </w:r>
    </w:p>
    <w:p>
      <w:r>
        <w:rPr>
          <w:rFonts w:ascii="Calibri" w:hAnsi="Calibri"/>
          <w:b w:val="0"/>
          <w:color w:val="2B2B2B"/>
          <w:sz w:val="22"/>
        </w:rPr>
        <w:t>Anteproyecto en el **Formato de Estructuración y Presentación de Propuestas de Investigación</w:t>
      </w:r>
    </w:p>
    <w:p>
      <w:r>
        <w:rPr>
          <w:rFonts w:ascii="Calibri" w:hAnsi="Calibri"/>
          <w:b w:val="0"/>
          <w:color w:val="2B2B2B"/>
          <w:sz w:val="22"/>
        </w:rPr>
        <w:t>INV-FO03 (Anexo 2)** · Convocatoria interna CUN 2026 — Desarrollo de Grupos Temáticos de</w:t>
      </w:r>
    </w:p>
    <w:p>
      <w:r>
        <w:rPr>
          <w:rFonts w:ascii="Calibri" w:hAnsi="Calibri"/>
          <w:b w:val="0"/>
          <w:color w:val="2B2B2B"/>
          <w:sz w:val="22"/>
        </w:rPr>
        <w:t>Investigación (Fase II).</w:t>
      </w:r>
    </w:p>
    <w:p>
      <w:r>
        <w:rPr>
          <w:rFonts w:ascii="Calibri" w:hAnsi="Calibri"/>
          <w:b/>
          <w:color w:val="2B2B2B"/>
          <w:sz w:val="22"/>
        </w:rPr>
        <w:t>Fecha de diligenciamiento:</w:t>
      </w:r>
      <w:r>
        <w:rPr>
          <w:rFonts w:ascii="Calibri" w:hAnsi="Calibri"/>
          <w:b w:val="0"/>
          <w:color w:val="2B2B2B"/>
          <w:sz w:val="22"/>
        </w:rPr>
        <w:t xml:space="preserve"> día 15 · mes 08 · año 2026.</w:t>
      </w:r>
    </w:p>
    <w:p>
      <w:pPr>
        <w:spacing w:before="200" w:after="60"/>
      </w:pPr>
      <w:r>
        <w:rPr>
          <w:rFonts w:ascii="Calibri" w:hAnsi="Calibri"/>
          <w:b/>
          <w:color w:val="007433"/>
          <w:sz w:val="32"/>
        </w:rPr>
        <w:t>Pendientes previos a la radicación (nota administrativa — no es un campo del INV-FO03)</w:t>
      </w:r>
    </w:p>
    <w:p>
      <w:r>
        <w:rPr>
          <w:rFonts w:ascii="Calibri" w:hAnsi="Calibri"/>
          <w:b w:val="0"/>
          <w:color w:val="2B2B2B"/>
          <w:sz w:val="22"/>
        </w:rPr>
        <w:t>Este apartado existe para uso interno del investigador principal y **debe retirarse al trasladar el</w:t>
      </w:r>
    </w:p>
    <w:p>
      <w:r>
        <w:rPr>
          <w:rFonts w:ascii="Calibri" w:hAnsi="Calibri"/>
          <w:b w:val="0"/>
          <w:color w:val="2B2B2B"/>
          <w:sz w:val="22"/>
        </w:rPr>
        <w:t>contenido al formato oficial**. No sustituye ni modifica ningún campo del INV-FO03.</w:t>
      </w:r>
    </w:p>
    <w:p>
      <w:pPr>
        <w:pStyle w:val="ListNumber"/>
      </w:pPr>
      <w:r>
        <w:rPr>
          <w:rFonts w:ascii="Calibri" w:hAnsi="Calibri"/>
          <w:b/>
          <w:color w:val="2B2B2B"/>
          <w:sz w:val="22"/>
        </w:rPr>
        <w:t>CvLAC registrado, sin producción registrada — pendiente de confirmación, no incumplimiento.</w:t>
      </w:r>
      <w:r>
        <w:rPr>
          <w:rFonts w:ascii="Calibri" w:hAnsi="Calibri"/>
          <w:b w:val="0"/>
          <w:color w:val="2B2B2B"/>
          <w:sz w:val="22"/>
        </w:rPr>
        <w:t xml:space="preserve"> El</w:t>
      </w:r>
    </w:p>
    <w:p>
      <w:r>
        <w:rPr>
          <w:rFonts w:ascii="Calibri" w:hAnsi="Calibri"/>
          <w:b w:val="0"/>
          <w:color w:val="2B2B2B"/>
          <w:sz w:val="22"/>
        </w:rPr>
        <w:t>numeral 5.1 de los Términos de Referencia exige "mantener el aplicativo CvLAC debidamente</w:t>
      </w:r>
    </w:p>
    <w:p>
      <w:r>
        <w:rPr>
          <w:rFonts w:ascii="Calibri" w:hAnsi="Calibri"/>
          <w:b w:val="0"/>
          <w:color w:val="2B2B2B"/>
          <w:sz w:val="22"/>
        </w:rPr>
        <w:t xml:space="preserve">actualizado". El investigador principal </w:t>
      </w:r>
      <w:r>
        <w:rPr>
          <w:rFonts w:ascii="Calibri" w:hAnsi="Calibri"/>
          <w:b/>
          <w:color w:val="2B2B2B"/>
          <w:sz w:val="22"/>
        </w:rPr>
        <w:t>sí tiene CvLAC registrado</w:t>
      </w:r>
      <w:r>
        <w:rPr>
          <w:rFonts w:ascii="Calibri" w:hAnsi="Calibri"/>
          <w:b w:val="0"/>
          <w:color w:val="2B2B2B"/>
          <w:sz w:val="22"/>
        </w:rPr>
        <w:t>; lo que no tiene aún es</w:t>
      </w:r>
    </w:p>
    <w:p>
      <w:r>
        <w:rPr>
          <w:rFonts w:ascii="Calibri" w:hAnsi="Calibri"/>
          <w:b w:val="0"/>
          <w:color w:val="2B2B2B"/>
          <w:sz w:val="22"/>
        </w:rPr>
        <w:t>producción cargada en él, porque esta sería su primera propuesta de investigación en la</w:t>
      </w:r>
    </w:p>
    <w:p>
      <w:r>
        <w:rPr>
          <w:rFonts w:ascii="Calibri" w:hAnsi="Calibri"/>
          <w:b w:val="0"/>
          <w:color w:val="2B2B2B"/>
          <w:sz w:val="22"/>
        </w:rPr>
        <w:t>institución. Un registro al día que refleja cero producción está, en sentido literal, actualizado:</w:t>
      </w:r>
    </w:p>
    <w:p>
      <w:r>
        <w:rPr>
          <w:rFonts w:ascii="Calibri" w:hAnsi="Calibri"/>
          <w:b/>
          <w:color w:val="2B2B2B"/>
          <w:sz w:val="22"/>
        </w:rPr>
        <w:t>no hay incumplimiento que declarar</w:t>
      </w:r>
      <w:r>
        <w:rPr>
          <w:rFonts w:ascii="Calibri" w:hAnsi="Calibri"/>
          <w:b w:val="0"/>
          <w:color w:val="2B2B2B"/>
          <w:sz w:val="22"/>
        </w:rPr>
        <w:t>. Pero si "debidamente actualizado" admite una lectura más</w:t>
      </w:r>
    </w:p>
    <w:p>
      <w:r>
        <w:rPr>
          <w:rFonts w:ascii="Calibri" w:hAnsi="Calibri"/>
          <w:b w:val="0"/>
          <w:color w:val="2B2B2B"/>
          <w:sz w:val="22"/>
        </w:rPr>
        <w:t>exigente no es algo que le corresponda decidir al proponente, así que la consulta queda planteada</w:t>
      </w:r>
    </w:p>
    <w:p>
      <w:r>
        <w:rPr>
          <w:rFonts w:ascii="Calibri" w:hAnsi="Calibri"/>
          <w:b w:val="0"/>
          <w:color w:val="2B2B2B"/>
          <w:sz w:val="22"/>
        </w:rPr>
        <w:t xml:space="preserve">en </w:t>
      </w:r>
      <w:r>
        <w:rPr>
          <w:rFonts w:ascii="Consolas" w:hAnsi="Consolas"/>
          <w:color w:val="111111"/>
          <w:sz w:val="21"/>
        </w:rPr>
        <w:t>Correo a la DNI - consultas previas a la radicacion.md</w:t>
      </w:r>
      <w:r>
        <w:rPr>
          <w:rFonts w:ascii="Calibri" w:hAnsi="Calibri"/>
          <w:b w:val="0"/>
          <w:color w:val="2B2B2B"/>
          <w:sz w:val="22"/>
        </w:rPr>
        <w:t xml:space="preserve"> y conviene tener la respuesta antes de</w:t>
      </w:r>
    </w:p>
    <w:p>
      <w:r>
        <w:rPr>
          <w:rFonts w:ascii="Calibri" w:hAnsi="Calibri"/>
          <w:b w:val="0"/>
          <w:color w:val="2B2B2B"/>
          <w:sz w:val="22"/>
        </w:rPr>
        <w:t>radicar. Con independencia de cómo se lea, sin producción previa esta propuesta no puede apoyarse</w:t>
      </w:r>
    </w:p>
    <w:p>
      <w:r>
        <w:rPr>
          <w:rFonts w:ascii="Calibri" w:hAnsi="Calibri"/>
          <w:b w:val="0"/>
          <w:color w:val="2B2B2B"/>
          <w:sz w:val="22"/>
        </w:rPr>
        <w:t>en la trayectoria del investigador y debe sostenerse por la calidad de lo propuesto — que es</w:t>
      </w:r>
    </w:p>
    <w:p>
      <w:r>
        <w:rPr>
          <w:rFonts w:ascii="Calibri" w:hAnsi="Calibri"/>
          <w:b w:val="0"/>
          <w:color w:val="2B2B2B"/>
          <w:sz w:val="22"/>
        </w:rPr>
        <w:t>exactamente donde está escrita.</w:t>
      </w:r>
    </w:p>
    <w:p>
      <w:pPr>
        <w:pStyle w:val="ListNumber"/>
      </w:pPr>
      <w:r>
        <w:rPr>
          <w:rFonts w:ascii="Calibri" w:hAnsi="Calibri"/>
          <w:b/>
          <w:color w:val="2B2B2B"/>
          <w:sz w:val="22"/>
        </w:rPr>
        <w:t>Contrato de tiempo completo — cumplido.</w:t>
      </w:r>
      <w:r>
        <w:rPr>
          <w:rFonts w:ascii="Calibri" w:hAnsi="Calibri"/>
          <w:b w:val="0"/>
          <w:color w:val="2B2B2B"/>
          <w:sz w:val="22"/>
        </w:rPr>
        <w:t xml:space="preserve"> El investigador principal tiene vinculación activa con</w:t>
      </w:r>
    </w:p>
    <w:p>
      <w:r>
        <w:rPr>
          <w:rFonts w:ascii="Calibri" w:hAnsi="Calibri"/>
          <w:b w:val="0"/>
          <w:color w:val="2B2B2B"/>
          <w:sz w:val="22"/>
        </w:rPr>
        <w:t>contrato de tiempo completo; ese requisito del numeral 5.1 está satisfecho.</w:t>
      </w:r>
    </w:p>
    <w:p>
      <w:pPr>
        <w:pStyle w:val="ListNumber"/>
      </w:pPr>
      <w:r>
        <w:rPr>
          <w:rFonts w:ascii="Calibri" w:hAnsi="Calibri"/>
          <w:b/>
          <w:color w:val="2B2B2B"/>
          <w:sz w:val="22"/>
        </w:rPr>
        <w:t>Descarga horaria y ausencia de pendientes de convocatorias anteriores.</w:t>
      </w:r>
      <w:r>
        <w:rPr>
          <w:rFonts w:ascii="Calibri" w:hAnsi="Calibri"/>
          <w:b w:val="0"/>
          <w:color w:val="2B2B2B"/>
          <w:sz w:val="22"/>
        </w:rPr>
        <w:t xml:space="preserve"> Ambos requisitos del</w:t>
      </w:r>
    </w:p>
    <w:p>
      <w:r>
        <w:rPr>
          <w:rFonts w:ascii="Calibri" w:hAnsi="Calibri"/>
          <w:b w:val="0"/>
          <w:color w:val="2B2B2B"/>
          <w:sz w:val="22"/>
        </w:rPr>
        <w:t>numeral 5.1 dependen de aprobación y verificación de la DNI; no se dan por resueltos aquí.</w:t>
      </w:r>
    </w:p>
    <w:p>
      <w:pPr>
        <w:pStyle w:val="ListNumber"/>
      </w:pPr>
      <w:r>
        <w:rPr>
          <w:rFonts w:ascii="Calibri" w:hAnsi="Calibri"/>
          <w:b/>
          <w:color w:val="2B2B2B"/>
          <w:sz w:val="22"/>
        </w:rPr>
        <w:t>Cronograma de la convocatoria — sin fechas calendario.</w:t>
      </w:r>
      <w:r>
        <w:rPr>
          <w:rFonts w:ascii="Calibri" w:hAnsi="Calibri"/>
          <w:b w:val="0"/>
          <w:color w:val="2B2B2B"/>
          <w:sz w:val="22"/>
        </w:rPr>
        <w:t xml:space="preserve"> Las fechas del numeral 9 de los Términos</w:t>
      </w:r>
    </w:p>
    <w:p>
      <w:r>
        <w:rPr>
          <w:rFonts w:ascii="Calibri" w:hAnsi="Calibri"/>
          <w:b w:val="0"/>
          <w:color w:val="2B2B2B"/>
          <w:sz w:val="22"/>
        </w:rPr>
        <w:t>de Referencia (cierre 20/03/2026, correcciones 31/03/2026, comité de ética 03/04/2026, acta de</w:t>
      </w:r>
    </w:p>
    <w:p>
      <w:r>
        <w:rPr>
          <w:rFonts w:ascii="Calibri" w:hAnsi="Calibri"/>
          <w:b w:val="0"/>
          <w:color w:val="2B2B2B"/>
          <w:sz w:val="22"/>
        </w:rPr>
        <w:t>inicio 10/04/2026) ya transcurrieron. Por eso el cronograma de este anteproyecto se formula en</w:t>
      </w:r>
    </w:p>
    <w:p>
      <w:r>
        <w:rPr>
          <w:rFonts w:ascii="Calibri" w:hAnsi="Calibri"/>
          <w:b/>
          <w:color w:val="2B2B2B"/>
          <w:sz w:val="22"/>
        </w:rPr>
        <w:t>semanas relativas (Semana 1 a Semana 12)</w:t>
      </w:r>
      <w:r>
        <w:rPr>
          <w:rFonts w:ascii="Calibri" w:hAnsi="Calibri"/>
          <w:b w:val="0"/>
          <w:color w:val="2B2B2B"/>
          <w:sz w:val="22"/>
        </w:rPr>
        <w:t xml:space="preserve"> contadas desde la firma del acta de inicio, y **no se</w:t>
      </w:r>
    </w:p>
    <w:p>
      <w:r>
        <w:rPr>
          <w:rFonts w:ascii="Calibri" w:hAnsi="Calibri"/>
          <w:b w:val="0"/>
          <w:color w:val="2B2B2B"/>
          <w:sz w:val="22"/>
        </w:rPr>
        <w:t>inventan fechas calendario**. El anclaje a calendario queda pendiente de la respuesta de la DNI.</w:t>
      </w:r>
    </w:p>
    <w:p>
      <w:pPr>
        <w:pStyle w:val="ListNumber"/>
      </w:pPr>
      <w:r>
        <w:rPr>
          <w:rFonts w:ascii="Calibri" w:hAnsi="Calibri"/>
          <w:b/>
          <w:color w:val="2B2B2B"/>
          <w:sz w:val="22"/>
        </w:rPr>
        <w:t>Anexo 3 (Carta de Aval e Intención) — requisito habilitante, no opcional, para esta propuesta.</w:t>
      </w:r>
    </w:p>
    <w:p>
      <w:r>
        <w:rPr>
          <w:rFonts w:ascii="Calibri" w:hAnsi="Calibri"/>
          <w:b w:val="0"/>
          <w:color w:val="2B2B2B"/>
          <w:sz w:val="22"/>
        </w:rPr>
        <w:t xml:space="preserve">El </w:t>
      </w:r>
      <w:r>
        <w:rPr>
          <w:rFonts w:ascii="Calibri" w:hAnsi="Calibri"/>
          <w:b/>
          <w:color w:val="2B2B2B"/>
          <w:sz w:val="22"/>
        </w:rPr>
        <w:t>Parágrafo 2 del numeral 5.1</w:t>
      </w:r>
      <w:r>
        <w:rPr>
          <w:rFonts w:ascii="Calibri" w:hAnsi="Calibri"/>
          <w:b w:val="0"/>
          <w:color w:val="2B2B2B"/>
          <w:sz w:val="22"/>
        </w:rPr>
        <w:t xml:space="preserve"> obliga a comunicarse directamente con la DNI y a presentar la</w:t>
      </w:r>
    </w:p>
    <w:p>
      <w:r>
        <w:rPr>
          <w:rFonts w:ascii="Calibri" w:hAnsi="Calibri"/>
          <w:b w:val="0"/>
          <w:color w:val="2B2B2B"/>
          <w:sz w:val="22"/>
        </w:rPr>
        <w:t>carta de aval e intención de la organización externa cuando la propuesta se contempla "de</w:t>
      </w:r>
    </w:p>
    <w:p>
      <w:r>
        <w:rPr>
          <w:rFonts w:ascii="Calibri" w:hAnsi="Calibri"/>
          <w:b w:val="0"/>
          <w:color w:val="2B2B2B"/>
          <w:sz w:val="22"/>
        </w:rPr>
        <w:t>vinculación con proyección social". Esta propuesta lo es por diseño: sin organizaciones externas no</w:t>
      </w:r>
    </w:p>
    <w:p>
      <w:r>
        <w:rPr>
          <w:rFonts w:ascii="Calibri" w:hAnsi="Calibri"/>
          <w:b w:val="0"/>
          <w:color w:val="2B2B2B"/>
          <w:sz w:val="22"/>
        </w:rPr>
        <w:t>hay objeto de estudio. En consecuencia, **la radicación exige (a) el contacto previo con la DNI y</w:t>
      </w:r>
    </w:p>
    <w:p>
      <w:r>
        <w:rPr>
          <w:rFonts w:ascii="Calibri" w:hAnsi="Calibri"/>
          <w:b w:val="0"/>
          <w:color w:val="2B2B2B"/>
          <w:sz w:val="22"/>
        </w:rPr>
        <w:t>(b) el Anexo 3 firmado por cada pyme u organización participante**, con un mínimo de tres. Si al</w:t>
      </w:r>
    </w:p>
    <w:p>
      <w:r>
        <w:rPr>
          <w:rFonts w:ascii="Calibri" w:hAnsi="Calibri"/>
          <w:b w:val="0"/>
          <w:color w:val="2B2B2B"/>
          <w:sz w:val="22"/>
        </w:rPr>
        <w:t>momento de radicar solo hay dos cartas firmadas, la decisión correcta no es maquillar el número: es</w:t>
      </w:r>
    </w:p>
    <w:p>
      <w:r>
        <w:rPr>
          <w:rFonts w:ascii="Calibri" w:hAnsi="Calibri"/>
          <w:b w:val="0"/>
          <w:color w:val="2B2B2B"/>
          <w:sz w:val="22"/>
        </w:rPr>
        <w:t>ajustar el alcance por escrito o postergar. Este es el pendiente de mayor riesgo de todo el</w:t>
      </w:r>
    </w:p>
    <w:p>
      <w:r>
        <w:rPr>
          <w:rFonts w:ascii="Calibri" w:hAnsi="Calibri"/>
          <w:b w:val="0"/>
          <w:color w:val="2B2B2B"/>
          <w:sz w:val="22"/>
        </w:rPr>
        <w:t>documento y no depende del investigador.</w:t>
      </w:r>
    </w:p>
    <w:p>
      <w:pPr>
        <w:pStyle w:val="ListNumber"/>
      </w:pPr>
      <w:r>
        <w:rPr>
          <w:rFonts w:ascii="Calibri" w:hAnsi="Calibri"/>
          <w:b/>
          <w:color w:val="2B2B2B"/>
          <w:sz w:val="22"/>
        </w:rPr>
        <w:t>Identidad de las pymes participantes — por confirmar, no supuesta.</w:t>
      </w:r>
      <w:r>
        <w:rPr>
          <w:rFonts w:ascii="Calibri" w:hAnsi="Calibri"/>
          <w:b w:val="0"/>
          <w:color w:val="2B2B2B"/>
          <w:sz w:val="22"/>
        </w:rPr>
        <w:t xml:space="preserve"> La propuesta de Fase 1</w:t>
      </w:r>
    </w:p>
    <w:p>
      <w:r>
        <w:rPr>
          <w:rFonts w:ascii="Calibri" w:hAnsi="Calibri"/>
          <w:b w:val="0"/>
          <w:color w:val="2B2B2B"/>
          <w:sz w:val="22"/>
        </w:rPr>
        <w:t>asumía que existen pymes "con las que la CUN ya tiene relacionamiento". Ese relacionamiento debe</w:t>
      </w:r>
    </w:p>
    <w:p>
      <w:r>
        <w:rPr>
          <w:rFonts w:ascii="Calibri" w:hAnsi="Calibri"/>
          <w:b w:val="0"/>
          <w:color w:val="2B2B2B"/>
          <w:sz w:val="22"/>
        </w:rPr>
        <w:t>verificarse con la unidad responsable de Proyección Social y con la coordinación de prácticas</w:t>
      </w:r>
    </w:p>
    <w:p>
      <w:r>
        <w:rPr>
          <w:rFonts w:ascii="Calibri" w:hAnsi="Calibri"/>
          <w:b w:val="0"/>
          <w:color w:val="2B2B2B"/>
          <w:sz w:val="22"/>
        </w:rPr>
        <w:t>empresariales del programa: cuántas organizaciones, de qué sector, de qué tamaño y con qué</w:t>
      </w:r>
    </w:p>
    <w:p>
      <w:r>
        <w:rPr>
          <w:rFonts w:ascii="Calibri" w:hAnsi="Calibri"/>
          <w:b w:val="0"/>
          <w:color w:val="2B2B2B"/>
          <w:sz w:val="22"/>
        </w:rPr>
        <w:t xml:space="preserve">interlocutor. </w:t>
      </w:r>
      <w:r>
        <w:rPr>
          <w:rFonts w:ascii="Calibri" w:hAnsi="Calibri"/>
          <w:b/>
          <w:color w:val="2B2B2B"/>
          <w:sz w:val="22"/>
        </w:rPr>
        <w:t>Este documento no nombra ninguna pyme ni da por concedida ninguna autorización.</w:t>
      </w:r>
    </w:p>
    <w:p>
      <w:r>
        <w:rPr>
          <w:rFonts w:ascii="Calibri" w:hAnsi="Calibri"/>
          <w:b w:val="0"/>
          <w:color w:val="2B2B2B"/>
          <w:sz w:val="22"/>
        </w:rPr>
        <w:t>Los criterios de selección quedan escritos en el alcance para que la verificación sea comprobable</w:t>
      </w:r>
    </w:p>
    <w:p>
      <w:r>
        <w:rPr>
          <w:rFonts w:ascii="Calibri" w:hAnsi="Calibri"/>
          <w:b w:val="0"/>
          <w:color w:val="2B2B2B"/>
          <w:sz w:val="22"/>
        </w:rPr>
        <w:t>y no una formalidad.</w:t>
      </w:r>
    </w:p>
    <w:p>
      <w:pPr>
        <w:pStyle w:val="ListNumber"/>
      </w:pPr>
      <w:r>
        <w:rPr>
          <w:rFonts w:ascii="Calibri" w:hAnsi="Calibri"/>
          <w:b/>
          <w:color w:val="2B2B2B"/>
          <w:sz w:val="22"/>
        </w:rPr>
        <w:t>Vinculación a un grupo de investigación CUN y adscripción al GrupLAC.</w:t>
      </w:r>
      <w:r>
        <w:rPr>
          <w:rFonts w:ascii="Calibri" w:hAnsi="Calibri"/>
          <w:b w:val="0"/>
          <w:color w:val="2B2B2B"/>
          <w:sz w:val="22"/>
        </w:rPr>
        <w:t xml:space="preserve"> El **Parágrafo 3 del</w:t>
      </w:r>
    </w:p>
    <w:p>
      <w:r>
        <w:rPr>
          <w:rFonts w:ascii="Calibri" w:hAnsi="Calibri"/>
          <w:b w:val="0"/>
          <w:color w:val="2B2B2B"/>
          <w:sz w:val="22"/>
        </w:rPr>
        <w:t>numeral 5.1** prioriza la financiación de propuestas que incluyan a un docente investigador</w:t>
      </w:r>
    </w:p>
    <w:p>
      <w:r>
        <w:rPr>
          <w:rFonts w:ascii="Calibri" w:hAnsi="Calibri"/>
          <w:b w:val="0"/>
          <w:color w:val="2B2B2B"/>
          <w:sz w:val="22"/>
        </w:rPr>
        <w:t>perteneciente a un grupo de investigación CUN. El investigador principal no tiene confirmada su</w:t>
      </w:r>
    </w:p>
    <w:p>
      <w:r>
        <w:rPr>
          <w:rFonts w:ascii="Calibri" w:hAnsi="Calibri"/>
          <w:b w:val="0"/>
          <w:color w:val="2B2B2B"/>
          <w:sz w:val="22"/>
        </w:rPr>
        <w:t>adscripción formal a un grupo, y el procedimiento para vincular su CvLAC al GrupLAC institucional</w:t>
      </w:r>
    </w:p>
    <w:p>
      <w:r>
        <w:rPr>
          <w:rFonts w:ascii="Calibri" w:hAnsi="Calibri"/>
          <w:b w:val="0"/>
          <w:color w:val="2B2B2B"/>
          <w:sz w:val="22"/>
        </w:rPr>
        <w:t>es una de las consultas abiertas en el correo a la DNI. Mientras no haya respuesta, el campo</w:t>
      </w:r>
    </w:p>
    <w:p>
      <w:r>
        <w:rPr>
          <w:rFonts w:ascii="Calibri" w:hAnsi="Calibri"/>
          <w:b w:val="0"/>
          <w:color w:val="2B2B2B"/>
          <w:sz w:val="22"/>
        </w:rPr>
        <w:t xml:space="preserve">"Grupo de investigación" del formato queda como </w:t>
      </w:r>
      <w:r>
        <w:rPr>
          <w:rFonts w:ascii="Calibri" w:hAnsi="Calibri"/>
          <w:b/>
          <w:color w:val="2B2B2B"/>
          <w:sz w:val="22"/>
        </w:rPr>
        <w:t>por definir</w:t>
      </w:r>
      <w:r>
        <w:rPr>
          <w:rFonts w:ascii="Calibri" w:hAnsi="Calibri"/>
          <w:b w:val="0"/>
          <w:color w:val="2B2B2B"/>
          <w:sz w:val="22"/>
        </w:rPr>
        <w:t>, no como "No aplica".</w:t>
      </w:r>
    </w:p>
    <w:p>
      <w:pPr>
        <w:pStyle w:val="ListNumber"/>
      </w:pPr>
      <w:r>
        <w:rPr>
          <w:rFonts w:ascii="Calibri" w:hAnsi="Calibri"/>
          <w:b/>
          <w:color w:val="2B2B2B"/>
          <w:sz w:val="22"/>
        </w:rPr>
        <w:t>Rubro de talento humano no verificado contra la tabla del numeral 6.</w:t>
      </w:r>
      <w:r>
        <w:rPr>
          <w:rFonts w:ascii="Calibri" w:hAnsi="Calibri"/>
          <w:b w:val="0"/>
          <w:color w:val="2B2B2B"/>
          <w:sz w:val="22"/>
        </w:rPr>
        <w:t xml:space="preserve"> La tabla de rubros</w:t>
      </w:r>
    </w:p>
    <w:p>
      <w:r>
        <w:rPr>
          <w:rFonts w:ascii="Calibri" w:hAnsi="Calibri"/>
          <w:b w:val="0"/>
          <w:color w:val="2B2B2B"/>
          <w:sz w:val="22"/>
        </w:rPr>
        <w:t>financiables y no financiables del numeral 6 de los Términos de Referencia **está incrustada como</w:t>
      </w:r>
    </w:p>
    <w:p>
      <w:r>
        <w:rPr>
          <w:rFonts w:ascii="Calibri" w:hAnsi="Calibri"/>
          <w:b w:val="0"/>
          <w:color w:val="2B2B2B"/>
          <w:sz w:val="22"/>
        </w:rPr>
        <w:t>imagen en el PDF y no se puede extraer ni leer**, de modo que no es posible confirmar si una</w:t>
      </w:r>
    </w:p>
    <w:p>
      <w:r>
        <w:rPr>
          <w:rFonts w:ascii="Calibri" w:hAnsi="Calibri"/>
          <w:b w:val="0"/>
          <w:color w:val="2B2B2B"/>
          <w:sz w:val="22"/>
        </w:rPr>
        <w:t>bonificación a un auxiliar de investigación estudiante es un rubro financiable. El presupuesto de</w:t>
      </w:r>
    </w:p>
    <w:p>
      <w:r>
        <w:rPr>
          <w:rFonts w:ascii="Calibri" w:hAnsi="Calibri"/>
          <w:b w:val="0"/>
          <w:color w:val="2B2B2B"/>
          <w:sz w:val="22"/>
        </w:rPr>
        <w:t xml:space="preserve">esta propuesta prevé </w:t>
      </w:r>
      <w:r>
        <w:rPr>
          <w:rFonts w:ascii="Calibri" w:hAnsi="Calibri"/>
          <w:b/>
          <w:color w:val="2B2B2B"/>
          <w:sz w:val="22"/>
        </w:rPr>
        <w:t>$900.000 por ese concepto sobre un total solicitado de $4.980.000</w:t>
      </w:r>
      <w:r>
        <w:rPr>
          <w:rFonts w:ascii="Calibri" w:hAnsi="Calibri"/>
          <w:b w:val="0"/>
          <w:color w:val="2B2B2B"/>
          <w:sz w:val="22"/>
        </w:rPr>
        <w:t>, es</w:t>
      </w:r>
    </w:p>
    <w:p>
      <w:r>
        <w:rPr>
          <w:rFonts w:ascii="Calibri" w:hAnsi="Calibri"/>
          <w:b w:val="0"/>
          <w:color w:val="2B2B2B"/>
          <w:sz w:val="22"/>
        </w:rPr>
        <w:t xml:space="preserve">decir </w:t>
      </w:r>
      <w:r>
        <w:rPr>
          <w:rFonts w:ascii="Calibri" w:hAnsi="Calibri"/>
          <w:b/>
          <w:color w:val="2B2B2B"/>
          <w:sz w:val="22"/>
        </w:rPr>
        <w:t>18,1 % del presupuesto en riesgo</w:t>
      </w:r>
      <w:r>
        <w:rPr>
          <w:rFonts w:ascii="Calibri" w:hAnsi="Calibri"/>
          <w:b w:val="0"/>
          <w:color w:val="2B2B2B"/>
          <w:sz w:val="22"/>
        </w:rPr>
        <w:t xml:space="preserve"> de reclasificación o rechazo. Debe confirmarse con la</w:t>
      </w:r>
    </w:p>
    <w:p>
      <w:r>
        <w:rPr>
          <w:rFonts w:ascii="Calibri" w:hAnsi="Calibri"/>
          <w:b w:val="0"/>
          <w:color w:val="2B2B2B"/>
          <w:sz w:val="22"/>
        </w:rPr>
        <w:t>DNI antes de radicar. Si el rubro no es financiable, el auxiliar se vincula por certificación</w:t>
      </w:r>
    </w:p>
    <w:p>
      <w:r>
        <w:rPr>
          <w:rFonts w:ascii="Calibri" w:hAnsi="Calibri"/>
          <w:b w:val="0"/>
          <w:color w:val="2B2B2B"/>
          <w:sz w:val="22"/>
        </w:rPr>
        <w:t>académica sin contraprestación económica —lo que exige reducir a tres el número de pymes</w:t>
      </w:r>
    </w:p>
    <w:p>
      <w:r>
        <w:rPr>
          <w:rFonts w:ascii="Calibri" w:hAnsi="Calibri"/>
          <w:b w:val="0"/>
          <w:color w:val="2B2B2B"/>
          <w:sz w:val="22"/>
        </w:rPr>
        <w:t>diagnosticadas para que la carga sea sostenible— y el monto se reasigna a impresión de la cartilla</w:t>
      </w:r>
    </w:p>
    <w:p>
      <w:r>
        <w:rPr>
          <w:rFonts w:ascii="Calibri" w:hAnsi="Calibri"/>
          <w:b w:val="0"/>
          <w:color w:val="2B2B2B"/>
          <w:sz w:val="22"/>
        </w:rPr>
        <w:t>y desplazamientos, sin superar el techo.</w:t>
      </w:r>
    </w:p>
    <w:p>
      <w:pPr>
        <w:pStyle w:val="ListNumber"/>
      </w:pPr>
      <w:r>
        <w:rPr>
          <w:rFonts w:ascii="Calibri" w:hAnsi="Calibri"/>
          <w:b/>
          <w:color w:val="2B2B2B"/>
          <w:sz w:val="22"/>
        </w:rPr>
        <w:t>Verificación normativa pendiente antes de cerrar el marco teórico.</w:t>
      </w:r>
      <w:r>
        <w:rPr>
          <w:rFonts w:ascii="Calibri" w:hAnsi="Calibri"/>
          <w:b w:val="0"/>
          <w:color w:val="2B2B2B"/>
          <w:sz w:val="22"/>
        </w:rPr>
        <w:t xml:space="preserve"> La propuesta de Fase 1 citaba</w:t>
      </w:r>
    </w:p>
    <w:p>
      <w:r>
        <w:rPr>
          <w:rFonts w:ascii="Calibri" w:hAnsi="Calibri"/>
          <w:b w:val="0"/>
          <w:color w:val="2B2B2B"/>
          <w:sz w:val="22"/>
        </w:rPr>
        <w:t>una "Circular Externa 002 de 2023 de la SIC" como fuente de lineamientos de protección de datos.</w:t>
      </w:r>
    </w:p>
    <w:p>
      <w:r>
        <w:rPr>
          <w:rFonts w:ascii="Calibri" w:hAnsi="Calibri"/>
          <w:b/>
          <w:color w:val="2B2B2B"/>
          <w:sz w:val="22"/>
        </w:rPr>
        <w:t>Ese dato no se pudo verificar</w:t>
      </w:r>
      <w:r>
        <w:rPr>
          <w:rFonts w:ascii="Calibri" w:hAnsi="Calibri"/>
          <w:b w:val="0"/>
          <w:color w:val="2B2B2B"/>
          <w:sz w:val="22"/>
        </w:rPr>
        <w:t xml:space="preserve"> y por eso </w:t>
      </w:r>
      <w:r>
        <w:rPr>
          <w:rFonts w:ascii="Calibri" w:hAnsi="Calibri"/>
          <w:b/>
          <w:color w:val="2B2B2B"/>
          <w:sz w:val="22"/>
        </w:rPr>
        <w:t>no se usa</w:t>
      </w:r>
      <w:r>
        <w:rPr>
          <w:rFonts w:ascii="Calibri" w:hAnsi="Calibri"/>
          <w:b w:val="0"/>
          <w:color w:val="2B2B2B"/>
          <w:sz w:val="22"/>
        </w:rPr>
        <w:t xml:space="preserve"> en este anteproyecto: el andamiaje</w:t>
      </w:r>
    </w:p>
    <w:p>
      <w:r>
        <w:rPr>
          <w:rFonts w:ascii="Calibri" w:hAnsi="Calibri"/>
          <w:b w:val="0"/>
          <w:color w:val="2B2B2B"/>
          <w:sz w:val="22"/>
        </w:rPr>
        <w:t>normativo se apoya únicamente en normas cuya existencia y contenido son comprobables (Ley 1581 de</w:t>
      </w:r>
    </w:p>
    <w:p>
      <w:r>
        <w:rPr>
          <w:rFonts w:ascii="Calibri" w:hAnsi="Calibri"/>
          <w:b w:val="0"/>
          <w:color w:val="2B2B2B"/>
          <w:sz w:val="22"/>
        </w:rPr>
        <w:t>2012, Decreto 1377 de 2013, Ley 1273 de 2009). Antes de radicar debe hacerse el inventario</w:t>
      </w:r>
    </w:p>
    <w:p>
      <w:r>
        <w:rPr>
          <w:rFonts w:ascii="Calibri" w:hAnsi="Calibri"/>
          <w:b w:val="0"/>
          <w:color w:val="2B2B2B"/>
          <w:sz w:val="22"/>
        </w:rPr>
        <w:t>normativo definitivo contra las publicaciones oficiales de la Superintendencia de Industria y</w:t>
      </w:r>
    </w:p>
    <w:p>
      <w:r>
        <w:rPr>
          <w:rFonts w:ascii="Calibri" w:hAnsi="Calibri"/>
          <w:b w:val="0"/>
          <w:color w:val="2B2B2B"/>
          <w:sz w:val="22"/>
        </w:rPr>
        <w:t>Comercio; si esa circular existe y es pertinente, se incorpora citada correctamente. Del mismo</w:t>
      </w:r>
    </w:p>
    <w:p>
      <w:r>
        <w:rPr>
          <w:rFonts w:ascii="Calibri" w:hAnsi="Calibri"/>
          <w:b w:val="0"/>
          <w:color w:val="2B2B2B"/>
          <w:sz w:val="22"/>
        </w:rPr>
        <w:t>modo, las referencias de la lista final deben contrastarse una a una en el registro del editor:</w:t>
      </w:r>
    </w:p>
    <w:p>
      <w:r>
        <w:rPr>
          <w:rFonts w:ascii="Calibri" w:hAnsi="Calibri"/>
          <w:b/>
          <w:color w:val="2B2B2B"/>
          <w:sz w:val="22"/>
        </w:rPr>
        <w:t>a la fecha esa verificación no se ha realizado y no se declara realizada.</w:t>
      </w:r>
    </w:p>
    <w:p>
      <w:pPr>
        <w:pStyle w:val="ListNumber"/>
      </w:pPr>
      <w:r>
        <w:rPr>
          <w:rFonts w:ascii="Calibri" w:hAnsi="Calibri"/>
          <w:b/>
          <w:color w:val="2B2B2B"/>
          <w:sz w:val="22"/>
        </w:rPr>
        <w:t>Datos reales de las pymes — el diseño evita necesitarlos, y eso hay que sostenerlo.</w:t>
      </w:r>
      <w:r>
        <w:rPr>
          <w:rFonts w:ascii="Calibri" w:hAnsi="Calibri"/>
          <w:b w:val="0"/>
          <w:color w:val="2B2B2B"/>
          <w:sz w:val="22"/>
        </w:rPr>
        <w:t xml:space="preserve"> El</w:t>
      </w:r>
    </w:p>
    <w:p>
      <w:r>
        <w:rPr>
          <w:rFonts w:ascii="Calibri" w:hAnsi="Calibri"/>
          <w:b w:val="0"/>
          <w:color w:val="2B2B2B"/>
          <w:sz w:val="22"/>
        </w:rPr>
        <w:t>prototipo del tercer objetivo trabaja sobre registros **sintéticos o anonimizados por la propia</w:t>
      </w:r>
    </w:p>
    <w:p>
      <w:r>
        <w:rPr>
          <w:rFonts w:ascii="Calibri" w:hAnsi="Calibri"/>
          <w:b w:val="0"/>
          <w:color w:val="2B2B2B"/>
          <w:sz w:val="22"/>
        </w:rPr>
        <w:t>pyme antes de salir de su infraestructura**. Si alguna organización ofreciera registros reales sin</w:t>
      </w:r>
    </w:p>
    <w:p>
      <w:r>
        <w:rPr>
          <w:rFonts w:ascii="Calibri" w:hAnsi="Calibri"/>
          <w:b w:val="0"/>
          <w:color w:val="2B2B2B"/>
          <w:sz w:val="22"/>
        </w:rPr>
        <w:t>anonimizar, la respuesta correcta es rechazarlos: aceptarlos convertiría al proyecto en encargado</w:t>
      </w:r>
    </w:p>
    <w:p>
      <w:r>
        <w:rPr>
          <w:rFonts w:ascii="Calibri" w:hAnsi="Calibri"/>
          <w:b w:val="0"/>
          <w:color w:val="2B2B2B"/>
          <w:sz w:val="22"/>
        </w:rPr>
        <w:t>del tratamiento de datos personales de terceros, con las obligaciones y el riesgo que eso implica,</w:t>
      </w:r>
    </w:p>
    <w:p>
      <w:r>
        <w:rPr>
          <w:rFonts w:ascii="Calibri" w:hAnsi="Calibri"/>
          <w:b w:val="0"/>
          <w:color w:val="2B2B2B"/>
          <w:sz w:val="22"/>
        </w:rPr>
        <w:t>y exigiría un acuerdo de tratamiento que no está previsto ni presupuestado. El aval del Comité de</w:t>
      </w:r>
    </w:p>
    <w:p>
      <w:r>
        <w:rPr>
          <w:rFonts w:ascii="Calibri" w:hAnsi="Calibri"/>
          <w:b w:val="0"/>
          <w:color w:val="2B2B2B"/>
          <w:sz w:val="22"/>
        </w:rPr>
        <w:t>Ética de la Investigación Institucional es requisito habilitante para iniciar cualquier</w:t>
      </w:r>
    </w:p>
    <w:p>
      <w:r>
        <w:rPr>
          <w:rFonts w:ascii="Calibri" w:hAnsi="Calibri"/>
          <w:b w:val="0"/>
          <w:color w:val="2B2B2B"/>
          <w:sz w:val="22"/>
        </w:rPr>
        <w:t>recolección con personas (actividades de diagnóstico y entrevistas).</w:t>
      </w:r>
    </w:p>
    <w:p>
      <w:pPr>
        <w:pStyle w:val="ListNumber"/>
      </w:pPr>
      <w:r>
        <w:rPr>
          <w:rFonts w:ascii="Calibri" w:hAnsi="Calibri"/>
          <w:b/>
          <w:color w:val="2B2B2B"/>
          <w:sz w:val="22"/>
        </w:rPr>
        <w:t>Inconsistencia en los criterios de evaluación del numeral 11.</w:t>
      </w:r>
      <w:r>
        <w:rPr>
          <w:rFonts w:ascii="Calibri" w:hAnsi="Calibri"/>
          <w:b w:val="0"/>
          <w:color w:val="2B2B2B"/>
          <w:sz w:val="22"/>
        </w:rPr>
        <w:t xml:space="preserve"> La tabla del numeral 11 asigna</w:t>
      </w:r>
    </w:p>
    <w:p>
      <w:r>
        <w:rPr>
          <w:rFonts w:ascii="Calibri" w:hAnsi="Calibri"/>
          <w:b w:val="0"/>
          <w:color w:val="2B2B2B"/>
          <w:sz w:val="22"/>
        </w:rPr>
        <w:t>Elementos preliminares 2 / Impacto, viabilidad y retorno 28 / Calidad de la propuesta 50 /</w:t>
      </w:r>
    </w:p>
    <w:p>
      <w:r>
        <w:rPr>
          <w:rFonts w:ascii="Calibri" w:hAnsi="Calibri"/>
          <w:b w:val="0"/>
          <w:color w:val="2B2B2B"/>
          <w:sz w:val="22"/>
        </w:rPr>
        <w:t>Resultados y productos 20 = 100, mientras el texto explicativo inmediatamente debajo asigna</w:t>
      </w:r>
    </w:p>
    <w:p>
      <w:r>
        <w:rPr>
          <w:rFonts w:ascii="Calibri" w:hAnsi="Calibri"/>
          <w:b w:val="0"/>
          <w:color w:val="2B2B2B"/>
          <w:sz w:val="22"/>
        </w:rPr>
        <w:t>Elementos preliminares 20 / Calidad de la propuesta 60 / Resultados y productos 20 = 100, sin</w:t>
      </w:r>
    </w:p>
    <w:p>
      <w:r>
        <w:rPr>
          <w:rFonts w:ascii="Calibri" w:hAnsi="Calibri"/>
          <w:b w:val="0"/>
          <w:color w:val="2B2B2B"/>
          <w:sz w:val="22"/>
        </w:rPr>
        <w:t>desglosar "impacto, viabilidad y retorno". Es una inconsistencia del propio documento institucional</w:t>
      </w:r>
    </w:p>
    <w:p>
      <w:r>
        <w:rPr>
          <w:rFonts w:ascii="Calibri" w:hAnsi="Calibri"/>
          <w:b w:val="0"/>
          <w:color w:val="2B2B2B"/>
          <w:sz w:val="22"/>
        </w:rPr>
        <w:t xml:space="preserve">y </w:t>
      </w:r>
      <w:r>
        <w:rPr>
          <w:rFonts w:ascii="Calibri" w:hAnsi="Calibri"/>
          <w:b/>
          <w:color w:val="2B2B2B"/>
          <w:sz w:val="22"/>
        </w:rPr>
        <w:t>no se resuelve aquí</w:t>
      </w:r>
      <w:r>
        <w:rPr>
          <w:rFonts w:ascii="Calibri" w:hAnsi="Calibri"/>
          <w:b w:val="0"/>
          <w:color w:val="2B2B2B"/>
          <w:sz w:val="22"/>
        </w:rPr>
        <w:t>. El anteproyecto está escrito para el criterio más exigente bajo</w:t>
      </w:r>
    </w:p>
    <w:p>
      <w:r>
        <w:rPr>
          <w:rFonts w:ascii="Calibri" w:hAnsi="Calibri"/>
          <w:b w:val="0"/>
          <w:color w:val="2B2B2B"/>
          <w:sz w:val="22"/>
        </w:rPr>
        <w:t xml:space="preserve">cualquiera de las dos lecturas: la </w:t>
      </w:r>
      <w:r>
        <w:rPr>
          <w:rFonts w:ascii="Calibri" w:hAnsi="Calibri"/>
          <w:b/>
          <w:color w:val="2B2B2B"/>
          <w:sz w:val="22"/>
        </w:rPr>
        <w:t>calidad de la propuesta</w:t>
      </w:r>
      <w:r>
        <w:rPr>
          <w:rFonts w:ascii="Calibri" w:hAnsi="Calibri"/>
          <w:b w:val="0"/>
          <w:color w:val="2B2B2B"/>
          <w:sz w:val="22"/>
        </w:rPr>
        <w:t>.</w:t>
      </w:r>
    </w:p>
    <w:p>
      <w:pPr>
        <w:pStyle w:val="ListNumber"/>
      </w:pPr>
      <w:r>
        <w:rPr>
          <w:rFonts w:ascii="Calibri" w:hAnsi="Calibri"/>
          <w:b/>
          <w:color w:val="2B2B2B"/>
          <w:sz w:val="22"/>
        </w:rPr>
        <w:t>Número de propuestas por investigador principal — no está limitado en el documento.</w:t>
      </w:r>
      <w:r>
        <w:rPr>
          <w:rFonts w:ascii="Calibri" w:hAnsi="Calibri"/>
          <w:b w:val="0"/>
          <w:color w:val="2B2B2B"/>
          <w:sz w:val="22"/>
        </w:rPr>
        <w:t xml:space="preserve"> Los</w:t>
      </w:r>
    </w:p>
    <w:p>
      <w:r>
        <w:rPr>
          <w:rFonts w:ascii="Calibri" w:hAnsi="Calibri"/>
          <w:b w:val="0"/>
          <w:color w:val="2B2B2B"/>
          <w:sz w:val="22"/>
        </w:rPr>
        <w:t xml:space="preserve">Términos de Referencia </w:t>
      </w:r>
      <w:r>
        <w:rPr>
          <w:rFonts w:ascii="Calibri" w:hAnsi="Calibri"/>
          <w:b/>
          <w:color w:val="2B2B2B"/>
          <w:sz w:val="22"/>
        </w:rPr>
        <w:t>no fijan un máximo</w:t>
      </w:r>
      <w:r>
        <w:rPr>
          <w:rFonts w:ascii="Calibri" w:hAnsi="Calibri"/>
          <w:b w:val="0"/>
          <w:color w:val="2B2B2B"/>
          <w:sz w:val="22"/>
        </w:rPr>
        <w:t xml:space="preserve"> de propuestas por investigador principal; el</w:t>
      </w:r>
    </w:p>
    <w:p>
      <w:r>
        <w:rPr>
          <w:rFonts w:ascii="Calibri" w:hAnsi="Calibri"/>
          <w:b w:val="0"/>
          <w:color w:val="2B2B2B"/>
          <w:sz w:val="22"/>
        </w:rPr>
        <w:t xml:space="preserve">Parágrafo 1 del numeral 5.1 fija un </w:t>
      </w:r>
      <w:r>
        <w:rPr>
          <w:rFonts w:ascii="Calibri" w:hAnsi="Calibri"/>
          <w:b/>
          <w:color w:val="2B2B2B"/>
          <w:sz w:val="22"/>
        </w:rPr>
        <w:t>mínimo</w:t>
      </w:r>
      <w:r>
        <w:rPr>
          <w:rFonts w:ascii="Calibri" w:hAnsi="Calibri"/>
          <w:b w:val="0"/>
          <w:color w:val="2B2B2B"/>
          <w:sz w:val="22"/>
        </w:rPr>
        <w:t xml:space="preserve"> ("deberán presentarse, en todos los casos […] con</w:t>
      </w:r>
    </w:p>
    <w:p>
      <w:r>
        <w:rPr>
          <w:rFonts w:ascii="Calibri" w:hAnsi="Calibri"/>
          <w:b w:val="0"/>
          <w:color w:val="2B2B2B"/>
          <w:sz w:val="22"/>
        </w:rPr>
        <w:t>una propuesta nueva") y el numeral 8 fija el techo de financiación "por propuesta aprobada".</w:t>
      </w:r>
    </w:p>
    <w:p>
      <w:r>
        <w:rPr>
          <w:rFonts w:ascii="Calibri" w:hAnsi="Calibri"/>
          <w:b w:val="0"/>
          <w:color w:val="2B2B2B"/>
          <w:sz w:val="22"/>
        </w:rPr>
        <w:t>Radicar esta propuesta junto con otras del mismo investigador **no contraviene ningún numeral</w:t>
      </w:r>
    </w:p>
    <w:p>
      <w:r>
        <w:rPr>
          <w:rFonts w:ascii="Calibri" w:hAnsi="Calibri"/>
          <w:b w:val="0"/>
          <w:color w:val="2B2B2B"/>
          <w:sz w:val="22"/>
        </w:rPr>
        <w:t>escrito**, pero la descarga horaria está condicionada al "número de plazas de investigación</w:t>
      </w:r>
    </w:p>
    <w:p>
      <w:r>
        <w:rPr>
          <w:rFonts w:ascii="Calibri" w:hAnsi="Calibri"/>
          <w:b w:val="0"/>
          <w:color w:val="2B2B2B"/>
          <w:sz w:val="22"/>
        </w:rPr>
        <w:t>disponibles" y varios proyectos de 12 semanas en paralelo compiten por las mismas horas del mismo</w:t>
      </w:r>
    </w:p>
    <w:p>
      <w:r>
        <w:rPr>
          <w:rFonts w:ascii="Calibri" w:hAnsi="Calibri"/>
          <w:b w:val="0"/>
          <w:color w:val="2B2B2B"/>
          <w:sz w:val="22"/>
        </w:rPr>
        <w:t>docente. La consulta está incluida en el correo a la DNI.</w:t>
      </w:r>
    </w:p>
    <w:p>
      <w:pPr>
        <w:spacing w:before="200" w:after="60"/>
      </w:pPr>
      <w:r>
        <w:rPr>
          <w:rFonts w:ascii="Calibri" w:hAnsi="Calibri"/>
          <w:b/>
          <w:color w:val="007433"/>
          <w:sz w:val="32"/>
        </w:rPr>
        <w:t>Identificación de la propuesta</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Campo</w:t>
            </w:r>
          </w:p>
        </w:tc>
        <w:tc>
          <w:tcPr>
            <w:tcW w:type="dxa" w:w="4896"/>
            <w:shd w:val="clear" w:fill="0C2340"/>
            <w:shd w:val="clear" w:fill="0C2340"/>
          </w:tcPr>
          <w:p>
            <w:r>
              <w:rPr>
                <w:rFonts w:ascii="Calibri" w:hAnsi="Calibri"/>
                <w:b/>
                <w:color w:val="FFFFFF"/>
              </w:rPr>
            </w:r>
            <w:r>
              <w:rPr>
                <w:rFonts w:ascii="Calibri" w:hAnsi="Calibri"/>
                <w:b/>
                <w:color w:val="FFFFFF"/>
                <w:sz w:val="21"/>
              </w:rPr>
              <w:t>Contenido</w:t>
            </w:r>
          </w:p>
        </w:tc>
      </w:tr>
      <w:tr>
        <w:tc>
          <w:tcPr>
            <w:tcW w:type="dxa" w:w="4896"/>
          </w:tcPr>
          <w:p>
            <w:r/>
            <w:r>
              <w:rPr>
                <w:rFonts w:ascii="Calibri" w:hAnsi="Calibri"/>
                <w:b/>
                <w:color w:val="2B2B2B"/>
                <w:sz w:val="20"/>
              </w:rPr>
              <w:t>Título de la propuesta</w:t>
            </w:r>
          </w:p>
        </w:tc>
        <w:tc>
          <w:tcPr>
            <w:tcW w:type="dxa" w:w="4896"/>
          </w:tcPr>
          <w:p>
            <w:r/>
            <w:r>
              <w:rPr>
                <w:rFonts w:ascii="Calibri" w:hAnsi="Calibri"/>
                <w:b w:val="0"/>
                <w:color w:val="2B2B2B"/>
                <w:sz w:val="20"/>
              </w:rPr>
              <w:t>Madurez en protección de datos personales y ciberseguridad en pymes aliadas de la CUN: diagnóstico con instrumento validado, modelo de buenas prácticas y prototipo de detección de anomalías sobre registros de acceso</w:t>
            </w:r>
          </w:p>
        </w:tc>
      </w:tr>
      <w:tr>
        <w:tc>
          <w:tcPr>
            <w:tcW w:type="dxa" w:w="4896"/>
            <w:shd w:val="clear" w:fill="F5F7F5"/>
            <w:shd w:val="clear" w:fill="F5F7F5"/>
          </w:tcPr>
          <w:p>
            <w:r/>
            <w:r>
              <w:rPr>
                <w:rFonts w:ascii="Calibri" w:hAnsi="Calibri"/>
                <w:b/>
                <w:color w:val="2B2B2B"/>
                <w:sz w:val="20"/>
              </w:rPr>
              <w:t>Investigador principal</w:t>
            </w:r>
          </w:p>
        </w:tc>
        <w:tc>
          <w:tcPr>
            <w:tcW w:type="dxa" w:w="4896"/>
            <w:shd w:val="clear" w:fill="F5F7F5"/>
            <w:shd w:val="clear" w:fill="F5F7F5"/>
          </w:tcPr>
          <w:p>
            <w:r/>
            <w:r>
              <w:rPr>
                <w:rFonts w:ascii="Calibri" w:hAnsi="Calibri"/>
                <w:b w:val="0"/>
                <w:color w:val="2B2B2B"/>
                <w:sz w:val="20"/>
              </w:rPr>
              <w:t>Julian Andrés Castaño Erazo</w:t>
            </w:r>
          </w:p>
        </w:tc>
      </w:tr>
      <w:tr>
        <w:tc>
          <w:tcPr>
            <w:tcW w:type="dxa" w:w="4896"/>
          </w:tcPr>
          <w:p>
            <w:r/>
            <w:r>
              <w:rPr>
                <w:rFonts w:ascii="Calibri" w:hAnsi="Calibri"/>
                <w:b/>
                <w:color w:val="2B2B2B"/>
                <w:sz w:val="20"/>
              </w:rPr>
              <w:t>Co-investigador(es)</w:t>
            </w:r>
          </w:p>
        </w:tc>
        <w:tc>
          <w:tcPr>
            <w:tcW w:type="dxa" w:w="4896"/>
          </w:tcPr>
          <w:p>
            <w:r/>
            <w:r>
              <w:rPr>
                <w:rFonts w:ascii="Calibri" w:hAnsi="Calibri"/>
                <w:b w:val="0"/>
                <w:color w:val="2B2B2B"/>
                <w:sz w:val="20"/>
              </w:rPr>
              <w:t xml:space="preserve">No aplica (propuesta individual). Se vincula un estudiante de semillero como auxiliar de investigación y </w:t>
            </w:r>
            <w:r>
              <w:rPr>
                <w:rFonts w:ascii="Calibri" w:hAnsi="Calibri"/>
                <w:b/>
                <w:color w:val="2B2B2B"/>
                <w:sz w:val="20"/>
              </w:rPr>
              <w:t>segundo diagnosticador</w:t>
            </w:r>
            <w:r>
              <w:rPr>
                <w:rFonts w:ascii="Calibri" w:hAnsi="Calibri"/>
                <w:b w:val="0"/>
                <w:color w:val="2B2B2B"/>
                <w:sz w:val="20"/>
              </w:rPr>
              <w:t xml:space="preserve"> del instrumento, sin rol de co-investigador.</w:t>
            </w:r>
          </w:p>
        </w:tc>
      </w:tr>
      <w:tr>
        <w:tc>
          <w:tcPr>
            <w:tcW w:type="dxa" w:w="4896"/>
            <w:shd w:val="clear" w:fill="F5F7F5"/>
            <w:shd w:val="clear" w:fill="F5F7F5"/>
          </w:tcPr>
          <w:p>
            <w:r/>
            <w:r>
              <w:rPr>
                <w:rFonts w:ascii="Calibri" w:hAnsi="Calibri"/>
                <w:b/>
                <w:color w:val="2B2B2B"/>
                <w:sz w:val="20"/>
              </w:rPr>
              <w:t>Correo electrónico</w:t>
            </w:r>
          </w:p>
        </w:tc>
        <w:tc>
          <w:tcPr>
            <w:tcW w:type="dxa" w:w="4896"/>
            <w:shd w:val="clear" w:fill="F5F7F5"/>
            <w:shd w:val="clear" w:fill="F5F7F5"/>
          </w:tcPr>
          <w:p>
            <w:r/>
            <w:r>
              <w:rPr>
                <w:rFonts w:ascii="Calibri" w:hAnsi="Calibri"/>
                <w:b w:val="0"/>
                <w:color w:val="2B2B2B"/>
                <w:sz w:val="20"/>
              </w:rPr>
              <w:t>julian_castanoe@cun.edu.co</w:t>
            </w:r>
          </w:p>
        </w:tc>
      </w:tr>
      <w:tr>
        <w:tc>
          <w:tcPr>
            <w:tcW w:type="dxa" w:w="4896"/>
          </w:tcPr>
          <w:p>
            <w:r/>
            <w:r>
              <w:rPr>
                <w:rFonts w:ascii="Calibri" w:hAnsi="Calibri"/>
                <w:b/>
                <w:color w:val="2B2B2B"/>
                <w:sz w:val="20"/>
              </w:rPr>
              <w:t>Programa académico / Área transversal</w:t>
            </w:r>
          </w:p>
        </w:tc>
        <w:tc>
          <w:tcPr>
            <w:tcW w:type="dxa" w:w="4896"/>
          </w:tcPr>
          <w:p>
            <w:r/>
            <w:r>
              <w:rPr>
                <w:rFonts w:ascii="Calibri" w:hAnsi="Calibri"/>
                <w:b w:val="0"/>
                <w:color w:val="2B2B2B"/>
                <w:sz w:val="20"/>
              </w:rPr>
              <w:t>Ingeniería de Sistemas y Especialización en Inteligencia Artificial</w:t>
            </w:r>
          </w:p>
        </w:tc>
      </w:tr>
      <w:tr>
        <w:tc>
          <w:tcPr>
            <w:tcW w:type="dxa" w:w="4896"/>
            <w:shd w:val="clear" w:fill="F5F7F5"/>
            <w:shd w:val="clear" w:fill="F5F7F5"/>
          </w:tcPr>
          <w:p>
            <w:r/>
            <w:r>
              <w:rPr>
                <w:rFonts w:ascii="Calibri" w:hAnsi="Calibri"/>
                <w:b/>
                <w:color w:val="2B2B2B"/>
                <w:sz w:val="20"/>
              </w:rPr>
              <w:t>Sede</w:t>
            </w:r>
          </w:p>
        </w:tc>
        <w:tc>
          <w:tcPr>
            <w:tcW w:type="dxa" w:w="4896"/>
            <w:shd w:val="clear" w:fill="F5F7F5"/>
            <w:shd w:val="clear" w:fill="F5F7F5"/>
          </w:tcPr>
          <w:p>
            <w:r/>
            <w:r>
              <w:rPr>
                <w:rFonts w:ascii="Calibri" w:hAnsi="Calibri"/>
                <w:b w:val="0"/>
                <w:color w:val="2B2B2B"/>
                <w:sz w:val="20"/>
              </w:rPr>
              <w:t>Bogotá Centro — sede de adscripción del investigador principal</w:t>
            </w:r>
          </w:p>
        </w:tc>
      </w:tr>
      <w:tr>
        <w:tc>
          <w:tcPr>
            <w:tcW w:type="dxa" w:w="4896"/>
          </w:tcPr>
          <w:p>
            <w:r/>
            <w:r>
              <w:rPr>
                <w:rFonts w:ascii="Calibri" w:hAnsi="Calibri"/>
                <w:b/>
                <w:color w:val="2B2B2B"/>
                <w:sz w:val="20"/>
              </w:rPr>
              <w:t>Escuela</w:t>
            </w:r>
          </w:p>
        </w:tc>
        <w:tc>
          <w:tcPr>
            <w:tcW w:type="dxa" w:w="4896"/>
          </w:tcPr>
          <w:p>
            <w:r/>
            <w:r>
              <w:rPr>
                <w:rFonts w:ascii="Calibri" w:hAnsi="Calibri"/>
                <w:b w:val="0"/>
                <w:color w:val="2B2B2B"/>
                <w:sz w:val="20"/>
              </w:rPr>
              <w:t>Escuela de Ingenierías</w:t>
            </w:r>
          </w:p>
        </w:tc>
      </w:tr>
      <w:tr>
        <w:tc>
          <w:tcPr>
            <w:tcW w:type="dxa" w:w="4896"/>
            <w:shd w:val="clear" w:fill="F5F7F5"/>
            <w:shd w:val="clear" w:fill="F5F7F5"/>
          </w:tcPr>
          <w:p>
            <w:r/>
            <w:r>
              <w:rPr>
                <w:rFonts w:ascii="Calibri" w:hAnsi="Calibri"/>
                <w:b/>
                <w:color w:val="2B2B2B"/>
                <w:sz w:val="20"/>
              </w:rPr>
              <w:t>Fechas de implementación</w:t>
            </w:r>
          </w:p>
        </w:tc>
        <w:tc>
          <w:tcPr>
            <w:tcW w:type="dxa" w:w="4896"/>
            <w:shd w:val="clear" w:fill="F5F7F5"/>
            <w:shd w:val="clear" w:fill="F5F7F5"/>
          </w:tcPr>
          <w:p>
            <w:r/>
            <w:r>
              <w:rPr>
                <w:rFonts w:ascii="Calibri" w:hAnsi="Calibri"/>
                <w:b w:val="0"/>
                <w:color w:val="2B2B2B"/>
                <w:sz w:val="20"/>
              </w:rPr>
              <w:t>Fecha de inicio: a partir de la firma del acta de inicio (por confirmar con la DNI). Fecha de finalización: 12 semanas después del acta de inicio.</w:t>
            </w:r>
          </w:p>
        </w:tc>
      </w:tr>
      <w:tr>
        <w:tc>
          <w:tcPr>
            <w:tcW w:type="dxa" w:w="4896"/>
          </w:tcPr>
          <w:p>
            <w:r/>
            <w:r>
              <w:rPr>
                <w:rFonts w:ascii="Calibri" w:hAnsi="Calibri"/>
                <w:b/>
                <w:color w:val="2B2B2B"/>
                <w:sz w:val="20"/>
              </w:rPr>
              <w:t>Tiempo total en meses</w:t>
            </w:r>
          </w:p>
        </w:tc>
        <w:tc>
          <w:tcPr>
            <w:tcW w:type="dxa" w:w="4896"/>
          </w:tcPr>
          <w:p>
            <w:r/>
            <w:r>
              <w:rPr>
                <w:rFonts w:ascii="Calibri" w:hAnsi="Calibri"/>
                <w:b w:val="0"/>
                <w:color w:val="2B2B2B"/>
                <w:sz w:val="20"/>
              </w:rPr>
              <w:t>3 meses (12 semanas)</w:t>
            </w:r>
          </w:p>
        </w:tc>
      </w:tr>
      <w:tr>
        <w:tc>
          <w:tcPr>
            <w:tcW w:type="dxa" w:w="4896"/>
            <w:shd w:val="clear" w:fill="F5F7F5"/>
            <w:shd w:val="clear" w:fill="F5F7F5"/>
          </w:tcPr>
          <w:p>
            <w:r/>
            <w:r>
              <w:rPr>
                <w:rFonts w:ascii="Calibri" w:hAnsi="Calibri"/>
                <w:b/>
                <w:color w:val="2B2B2B"/>
                <w:sz w:val="20"/>
              </w:rPr>
              <w:t>Lugar de ejecución de la propuesta</w:t>
            </w:r>
          </w:p>
        </w:tc>
        <w:tc>
          <w:tcPr>
            <w:tcW w:type="dxa" w:w="4896"/>
            <w:shd w:val="clear" w:fill="F5F7F5"/>
            <w:shd w:val="clear" w:fill="F5F7F5"/>
          </w:tcPr>
          <w:p>
            <w:r/>
            <w:r>
              <w:rPr>
                <w:rFonts w:ascii="Calibri" w:hAnsi="Calibri"/>
                <w:b w:val="0"/>
                <w:color w:val="2B2B2B"/>
                <w:sz w:val="20"/>
              </w:rPr>
              <w:t>Sede Bogotá Centro y sedes de operación de las pymes participantes, en el área de influencia urbana de la sede. El diagnóstico requiere visita presencial; el análisis, el desarrollo del prototipo y las entrevistas se realizan en modalidad mixta.</w:t>
            </w:r>
          </w:p>
        </w:tc>
      </w:tr>
      <w:tr>
        <w:tc>
          <w:tcPr>
            <w:tcW w:type="dxa" w:w="4896"/>
          </w:tcPr>
          <w:p>
            <w:r/>
            <w:r>
              <w:rPr>
                <w:rFonts w:ascii="Calibri" w:hAnsi="Calibri"/>
                <w:b/>
                <w:color w:val="2B2B2B"/>
                <w:sz w:val="20"/>
              </w:rPr>
              <w:t>Grupo de investigación</w:t>
            </w:r>
          </w:p>
        </w:tc>
        <w:tc>
          <w:tcPr>
            <w:tcW w:type="dxa" w:w="4896"/>
          </w:tcPr>
          <w:p>
            <w:r/>
            <w:r>
              <w:rPr>
                <w:rFonts w:ascii="Calibri" w:hAnsi="Calibri"/>
                <w:b/>
                <w:color w:val="2B2B2B"/>
                <w:sz w:val="20"/>
              </w:rPr>
              <w:t>Por definir.</w:t>
            </w:r>
            <w:r>
              <w:rPr>
                <w:rFonts w:ascii="Calibri" w:hAnsi="Calibri"/>
                <w:b w:val="0"/>
                <w:color w:val="2B2B2B"/>
                <w:sz w:val="20"/>
              </w:rPr>
              <w:t xml:space="preserve"> La adscripción formal del investigador principal a un grupo de investigación CUN y el procedimiento de vinculación de su CvLAC al GrupLAC correspondiente son consultas abiertas a la DNI (ver pendiente 7). No se declara "No aplica" porque el Parágrafo 3 del numeral 5.1 prioriza la financiación de propuestas con docente investigador de grupo, y esa vinculación es deseable, no descartada.</w:t>
            </w:r>
          </w:p>
        </w:tc>
      </w:tr>
      <w:tr>
        <w:tc>
          <w:tcPr>
            <w:tcW w:type="dxa" w:w="4896"/>
            <w:shd w:val="clear" w:fill="F5F7F5"/>
            <w:shd w:val="clear" w:fill="F5F7F5"/>
          </w:tcPr>
          <w:p>
            <w:r/>
            <w:r>
              <w:rPr>
                <w:rFonts w:ascii="Calibri" w:hAnsi="Calibri"/>
                <w:b/>
                <w:color w:val="2B2B2B"/>
                <w:sz w:val="20"/>
              </w:rPr>
              <w:t>Grupo Temático</w:t>
            </w:r>
          </w:p>
        </w:tc>
        <w:tc>
          <w:tcPr>
            <w:tcW w:type="dxa" w:w="4896"/>
            <w:shd w:val="clear" w:fill="F5F7F5"/>
            <w:shd w:val="clear" w:fill="F5F7F5"/>
          </w:tcPr>
          <w:p>
            <w:r/>
            <w:r>
              <w:rPr>
                <w:rFonts w:ascii="Calibri" w:hAnsi="Calibri"/>
                <w:b w:val="0"/>
                <w:color w:val="2B2B2B"/>
                <w:sz w:val="20"/>
              </w:rPr>
              <w:t>Grupo Temático 3 — Línea de Responsabilidad Social</w:t>
            </w:r>
          </w:p>
        </w:tc>
      </w:tr>
      <w:tr>
        <w:tc>
          <w:tcPr>
            <w:tcW w:type="dxa" w:w="4896"/>
          </w:tcPr>
          <w:p>
            <w:r/>
            <w:r>
              <w:rPr>
                <w:rFonts w:ascii="Calibri" w:hAnsi="Calibri"/>
                <w:b/>
                <w:color w:val="2B2B2B"/>
                <w:sz w:val="20"/>
              </w:rPr>
              <w:t>Eje Dinamizador</w:t>
            </w:r>
          </w:p>
        </w:tc>
        <w:tc>
          <w:tcPr>
            <w:tcW w:type="dxa" w:w="4896"/>
          </w:tcPr>
          <w:p>
            <w:r/>
            <w:r>
              <w:rPr>
                <w:rFonts w:ascii="Calibri" w:hAnsi="Calibri"/>
                <w:b w:val="0"/>
                <w:color w:val="2B2B2B"/>
                <w:sz w:val="20"/>
              </w:rPr>
              <w:t>Industrias 5.0, Big Data, ciberseguridad y manejo de datos</w:t>
            </w:r>
          </w:p>
        </w:tc>
      </w:tr>
      <w:tr>
        <w:tc>
          <w:tcPr>
            <w:tcW w:type="dxa" w:w="4896"/>
            <w:shd w:val="clear" w:fill="F5F7F5"/>
            <w:shd w:val="clear" w:fill="F5F7F5"/>
          </w:tcPr>
          <w:p>
            <w:r/>
            <w:r>
              <w:rPr>
                <w:rFonts w:ascii="Calibri" w:hAnsi="Calibri"/>
                <w:b/>
                <w:color w:val="2B2B2B"/>
                <w:sz w:val="20"/>
              </w:rPr>
              <w:t>Presupuesto solicitado</w:t>
            </w:r>
          </w:p>
        </w:tc>
        <w:tc>
          <w:tcPr>
            <w:tcW w:type="dxa" w:w="4896"/>
            <w:shd w:val="clear" w:fill="F5F7F5"/>
            <w:shd w:val="clear" w:fill="F5F7F5"/>
          </w:tcPr>
          <w:p>
            <w:r/>
            <w:r>
              <w:rPr>
                <w:rFonts w:ascii="Calibri" w:hAnsi="Calibri"/>
                <w:b w:val="0"/>
                <w:color w:val="2B2B2B"/>
                <w:sz w:val="20"/>
              </w:rPr>
              <w:t>$4.980.000 COP (por debajo del techo de $5.000.000 del numeral 8; desglose y verificación aritmética en el apartado de presupuesto)</w:t>
            </w:r>
          </w:p>
        </w:tc>
      </w:tr>
    </w:tbl>
    <w:p/>
    <w:p>
      <w:pPr>
        <w:spacing w:before="200" w:after="60"/>
      </w:pPr>
      <w:r>
        <w:rPr>
          <w:rFonts w:ascii="Calibri" w:hAnsi="Calibri"/>
          <w:b/>
          <w:color w:val="007433"/>
          <w:sz w:val="32"/>
        </w:rPr>
        <w:t>Elementos preliminares</w:t>
      </w:r>
    </w:p>
    <w:p>
      <w:r>
        <w:rPr>
          <w:rFonts w:ascii="Calibri" w:hAnsi="Calibri"/>
          <w:b w:val="0"/>
          <w:color w:val="2B2B2B"/>
          <w:sz w:val="22"/>
        </w:rPr>
        <w:t>Marque la opción según corresponda. Cuantos más elementos incorpore la propuesta, mayor puntaje puede</w:t>
      </w:r>
    </w:p>
    <w:p>
      <w:r>
        <w:rPr>
          <w:rFonts w:ascii="Calibri" w:hAnsi="Calibri"/>
          <w:b w:val="0"/>
          <w:color w:val="2B2B2B"/>
          <w:sz w:val="22"/>
        </w:rPr>
        <w:t>obtener. **Las respuestas de esta tabla son verificables contra el alcance declarado más abajo; ninguna</w:t>
      </w:r>
    </w:p>
    <w:p>
      <w:r>
        <w:rPr>
          <w:rFonts w:ascii="Calibri" w:hAnsi="Calibri"/>
          <w:b w:val="0"/>
          <w:color w:val="2B2B2B"/>
          <w:sz w:val="22"/>
        </w:rPr>
        <w:t>afirma algo que el propio documento después limite.**</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Elemento a considerar</w:t>
            </w:r>
          </w:p>
        </w:tc>
        <w:tc>
          <w:tcPr>
            <w:tcW w:type="dxa" w:w="3264"/>
            <w:shd w:val="clear" w:fill="0C2340"/>
            <w:shd w:val="clear" w:fill="0C2340"/>
          </w:tcPr>
          <w:p>
            <w:r>
              <w:rPr>
                <w:rFonts w:ascii="Calibri" w:hAnsi="Calibri"/>
                <w:b/>
                <w:color w:val="FFFFFF"/>
              </w:rPr>
            </w:r>
            <w:r>
              <w:rPr>
                <w:rFonts w:ascii="Calibri" w:hAnsi="Calibri"/>
                <w:b/>
                <w:color w:val="FFFFFF"/>
                <w:sz w:val="21"/>
              </w:rPr>
              <w:t>Cumple</w:t>
            </w:r>
          </w:p>
        </w:tc>
        <w:tc>
          <w:tcPr>
            <w:tcW w:type="dxa" w:w="3264"/>
            <w:shd w:val="clear" w:fill="0C2340"/>
            <w:shd w:val="clear" w:fill="0C2340"/>
          </w:tcPr>
          <w:p>
            <w:r>
              <w:rPr>
                <w:rFonts w:ascii="Calibri" w:hAnsi="Calibri"/>
                <w:b/>
                <w:color w:val="FFFFFF"/>
              </w:rPr>
            </w:r>
            <w:r>
              <w:rPr>
                <w:rFonts w:ascii="Calibri" w:hAnsi="Calibri"/>
                <w:b/>
                <w:color w:val="FFFFFF"/>
                <w:sz w:val="21"/>
              </w:rPr>
              <w:t>Precisión</w:t>
            </w:r>
          </w:p>
        </w:tc>
      </w:tr>
      <w:tr>
        <w:tc>
          <w:tcPr>
            <w:tcW w:type="dxa" w:w="3264"/>
          </w:tcPr>
          <w:p>
            <w:r/>
            <w:r>
              <w:rPr>
                <w:rFonts w:ascii="Calibri" w:hAnsi="Calibri"/>
                <w:b w:val="0"/>
                <w:color w:val="2B2B2B"/>
                <w:sz w:val="20"/>
              </w:rPr>
              <w:t>¿La propuesta contempla la creación o vinculación de experiencias de Semilleros?</w:t>
            </w:r>
          </w:p>
        </w:tc>
        <w:tc>
          <w:tcPr>
            <w:tcW w:type="dxa" w:w="3264"/>
          </w:tcPr>
          <w:p>
            <w:r/>
            <w:r>
              <w:rPr>
                <w:rFonts w:ascii="Calibri" w:hAnsi="Calibri"/>
                <w:b/>
                <w:color w:val="2B2B2B"/>
                <w:sz w:val="20"/>
              </w:rPr>
              <w:t>Sí</w:t>
            </w:r>
          </w:p>
        </w:tc>
        <w:tc>
          <w:tcPr>
            <w:tcW w:type="dxa" w:w="3264"/>
          </w:tcPr>
          <w:p>
            <w:r/>
            <w:r>
              <w:rPr>
                <w:rFonts w:ascii="Calibri" w:hAnsi="Calibri"/>
                <w:b w:val="0"/>
                <w:color w:val="2B2B2B"/>
                <w:sz w:val="20"/>
              </w:rPr>
              <w:t xml:space="preserve">Se vincula un estudiante de semillero de Ingeniería de Sistemas como auxiliar de investigación y </w:t>
            </w:r>
            <w:r>
              <w:rPr>
                <w:rFonts w:ascii="Calibri" w:hAnsi="Calibri"/>
                <w:b/>
                <w:color w:val="2B2B2B"/>
                <w:sz w:val="20"/>
              </w:rPr>
              <w:t>segundo diagnosticador</w:t>
            </w:r>
            <w:r>
              <w:rPr>
                <w:rFonts w:ascii="Calibri" w:hAnsi="Calibri"/>
                <w:b w:val="0"/>
                <w:color w:val="2B2B2B"/>
                <w:sz w:val="20"/>
              </w:rPr>
              <w:t>: aplica el instrumento de madurez de forma independiente en una parte de las organizaciones para poder reportar acuerdo entre evaluadores. No es apoyo accesorio, es una condición metodológica: un diagnóstico calificado por una sola persona describe al diagnosticador y no a la organización.</w:t>
            </w:r>
          </w:p>
        </w:tc>
      </w:tr>
      <w:tr>
        <w:tc>
          <w:tcPr>
            <w:tcW w:type="dxa" w:w="3264"/>
            <w:shd w:val="clear" w:fill="F5F7F5"/>
            <w:shd w:val="clear" w:fill="F5F7F5"/>
          </w:tcPr>
          <w:p>
            <w:r/>
            <w:r>
              <w:rPr>
                <w:rFonts w:ascii="Calibri" w:hAnsi="Calibri"/>
                <w:b w:val="0"/>
                <w:color w:val="2B2B2B"/>
                <w:sz w:val="20"/>
              </w:rPr>
              <w:t>¿Los resultados esperados implican a más de un programa académico?</w:t>
            </w:r>
          </w:p>
        </w:tc>
        <w:tc>
          <w:tcPr>
            <w:tcW w:type="dxa" w:w="3264"/>
            <w:shd w:val="clear" w:fill="F5F7F5"/>
            <w:shd w:val="clear" w:fill="F5F7F5"/>
          </w:tcPr>
          <w:p>
            <w:r/>
            <w:r>
              <w:rPr>
                <w:rFonts w:ascii="Calibri" w:hAnsi="Calibri"/>
                <w:b/>
                <w:color w:val="2B2B2B"/>
                <w:sz w:val="20"/>
              </w:rPr>
              <w:t>Parcialmente</w:t>
            </w:r>
          </w:p>
        </w:tc>
        <w:tc>
          <w:tcPr>
            <w:tcW w:type="dxa" w:w="3264"/>
            <w:shd w:val="clear" w:fill="F5F7F5"/>
            <w:shd w:val="clear" w:fill="F5F7F5"/>
          </w:tcPr>
          <w:p>
            <w:r/>
            <w:r>
              <w:rPr>
                <w:rFonts w:ascii="Calibri" w:hAnsi="Calibri"/>
                <w:b w:val="0"/>
                <w:color w:val="2B2B2B"/>
                <w:sz w:val="20"/>
              </w:rPr>
              <w:t xml:space="preserve">Los productos —instrumento de diagnóstico, modelo de buenas prácticas y cartilla— son directamente aprovechables por los programas de Administración de Empresas, Contaduría y Negocios Internacionales, porque el deber de protección de datos personales recae sobre cualquier responsable del tratamiento y no sobre un área técnica. Sin embargo, </w:t>
            </w:r>
            <w:r>
              <w:rPr>
                <w:rFonts w:ascii="Calibri" w:hAnsi="Calibri"/>
                <w:b/>
                <w:color w:val="2B2B2B"/>
                <w:sz w:val="20"/>
              </w:rPr>
              <w:t>el equipo ejecutor pertenece únicamente a Ingeniería de Sistemas y a la Especialización en Inteligencia Artificial</w:t>
            </w:r>
            <w:r>
              <w:rPr>
                <w:rFonts w:ascii="Calibri" w:hAnsi="Calibri"/>
                <w:b w:val="0"/>
                <w:color w:val="2B2B2B"/>
                <w:sz w:val="20"/>
              </w:rPr>
              <w:t xml:space="preserve"> y no se compromete la participación formal de un docente de otro programa; declarar "Sí" sería anticipar un acuerdo que no existe.</w:t>
            </w:r>
          </w:p>
        </w:tc>
      </w:tr>
      <w:tr>
        <w:tc>
          <w:tcPr>
            <w:tcW w:type="dxa" w:w="3264"/>
          </w:tcPr>
          <w:p>
            <w:r/>
            <w:r>
              <w:rPr>
                <w:rFonts w:ascii="Calibri" w:hAnsi="Calibri"/>
                <w:b w:val="0"/>
                <w:color w:val="2B2B2B"/>
                <w:sz w:val="20"/>
              </w:rPr>
              <w:t>¿Los resultados esperados implican a más de una sede regional?</w:t>
            </w:r>
          </w:p>
        </w:tc>
        <w:tc>
          <w:tcPr>
            <w:tcW w:type="dxa" w:w="3264"/>
          </w:tcPr>
          <w:p>
            <w:r/>
            <w:r>
              <w:rPr>
                <w:rFonts w:ascii="Calibri" w:hAnsi="Calibri"/>
                <w:b/>
                <w:color w:val="2B2B2B"/>
                <w:sz w:val="20"/>
              </w:rPr>
              <w:t>No</w:t>
            </w:r>
          </w:p>
        </w:tc>
        <w:tc>
          <w:tcPr>
            <w:tcW w:type="dxa" w:w="3264"/>
          </w:tcPr>
          <w:p>
            <w:r/>
            <w:r>
              <w:rPr>
                <w:rFonts w:ascii="Calibri" w:hAnsi="Calibri"/>
                <w:b w:val="0"/>
                <w:color w:val="2B2B2B"/>
                <w:sz w:val="20"/>
              </w:rPr>
              <w:t xml:space="preserve">El piloto se ejecuta con pymes del área de influencia de la sede Bogotá Centro, por una razón de costo y de tiempo: el diagnóstico exige visita presencial y 12 semanas no admiten desplazamientos intersedes. El instrumento y el modelo quedan documentados para réplica en otras regionales, pero </w:t>
            </w:r>
            <w:r>
              <w:rPr>
                <w:rFonts w:ascii="Calibri" w:hAnsi="Calibri"/>
                <w:b/>
                <w:color w:val="2B2B2B"/>
                <w:sz w:val="20"/>
              </w:rPr>
              <w:t>esa réplica no es un resultado de esta propuesta</w:t>
            </w:r>
            <w:r>
              <w:rPr>
                <w:rFonts w:ascii="Calibri" w:hAnsi="Calibri"/>
                <w:b w:val="0"/>
                <w:color w:val="2B2B2B"/>
                <w:sz w:val="20"/>
              </w:rPr>
              <w:t xml:space="preserve"> y no se declara como tal.</w:t>
            </w:r>
          </w:p>
        </w:tc>
      </w:tr>
      <w:tr>
        <w:tc>
          <w:tcPr>
            <w:tcW w:type="dxa" w:w="3264"/>
            <w:shd w:val="clear" w:fill="F5F7F5"/>
            <w:shd w:val="clear" w:fill="F5F7F5"/>
          </w:tcPr>
          <w:p>
            <w:r/>
            <w:r>
              <w:rPr>
                <w:rFonts w:ascii="Calibri" w:hAnsi="Calibri"/>
                <w:b w:val="0"/>
                <w:color w:val="2B2B2B"/>
                <w:sz w:val="20"/>
              </w:rPr>
              <w:t>¿Los resultados esperados implican a las diversas modalidades de formación (virtual, distancia y presencial)?</w:t>
            </w:r>
          </w:p>
        </w:tc>
        <w:tc>
          <w:tcPr>
            <w:tcW w:type="dxa" w:w="3264"/>
            <w:shd w:val="clear" w:fill="F5F7F5"/>
            <w:shd w:val="clear" w:fill="F5F7F5"/>
          </w:tcPr>
          <w:p>
            <w:r/>
            <w:r>
              <w:rPr>
                <w:rFonts w:ascii="Calibri" w:hAnsi="Calibri"/>
                <w:b/>
                <w:color w:val="2B2B2B"/>
                <w:sz w:val="20"/>
              </w:rPr>
              <w:t>No</w:t>
            </w:r>
          </w:p>
        </w:tc>
        <w:tc>
          <w:tcPr>
            <w:tcW w:type="dxa" w:w="3264"/>
            <w:shd w:val="clear" w:fill="F5F7F5"/>
            <w:shd w:val="clear" w:fill="F5F7F5"/>
          </w:tcPr>
          <w:p>
            <w:r/>
            <w:r>
              <w:rPr>
                <w:rFonts w:ascii="Calibri" w:hAnsi="Calibri"/>
                <w:b w:val="0"/>
                <w:color w:val="2B2B2B"/>
                <w:sz w:val="20"/>
              </w:rPr>
              <w:t>El objeto de la propuesta no es material ni proceso de formación, sino el tratamiento de datos personales en organizaciones externas; la pregunta no tiene un referente real en este diseño. Se responde "No" en lugar de forzar un "Parcialmente" apoyado en que la cartilla podría usarse en cualquier modalidad: eso sería un uso derivado del producto, no un resultado esperado.</w:t>
            </w:r>
          </w:p>
        </w:tc>
      </w:tr>
      <w:tr>
        <w:tc>
          <w:tcPr>
            <w:tcW w:type="dxa" w:w="3264"/>
          </w:tcPr>
          <w:p>
            <w:r/>
            <w:r>
              <w:rPr>
                <w:rFonts w:ascii="Calibri" w:hAnsi="Calibri"/>
                <w:b w:val="0"/>
                <w:color w:val="2B2B2B"/>
                <w:sz w:val="20"/>
              </w:rPr>
              <w:t>¿La propuesta contempla la articulación efectiva con comunidades vinculadas a la sociedad civil?</w:t>
            </w:r>
          </w:p>
        </w:tc>
        <w:tc>
          <w:tcPr>
            <w:tcW w:type="dxa" w:w="3264"/>
          </w:tcPr>
          <w:p>
            <w:r/>
            <w:r>
              <w:rPr>
                <w:rFonts w:ascii="Calibri" w:hAnsi="Calibri"/>
                <w:b/>
                <w:color w:val="2B2B2B"/>
                <w:sz w:val="20"/>
              </w:rPr>
              <w:t>Parcialmente</w:t>
            </w:r>
          </w:p>
        </w:tc>
        <w:tc>
          <w:tcPr>
            <w:tcW w:type="dxa" w:w="3264"/>
          </w:tcPr>
          <w:p>
            <w:r/>
            <w:r>
              <w:rPr>
                <w:rFonts w:ascii="Calibri" w:hAnsi="Calibri"/>
                <w:b w:val="0"/>
                <w:color w:val="2B2B2B"/>
                <w:sz w:val="20"/>
              </w:rPr>
              <w:t xml:space="preserve">Se buscará que al menos una de las organizaciones participantes sea una </w:t>
            </w:r>
            <w:r>
              <w:rPr>
                <w:rFonts w:ascii="Calibri" w:hAnsi="Calibri"/>
                <w:b/>
                <w:color w:val="2B2B2B"/>
                <w:sz w:val="20"/>
              </w:rPr>
              <w:t>asociación o gremio de pequeños comerciantes</w:t>
            </w:r>
            <w:r>
              <w:rPr>
                <w:rFonts w:ascii="Calibri" w:hAnsi="Calibri"/>
                <w:b w:val="0"/>
                <w:color w:val="2B2B2B"/>
                <w:sz w:val="20"/>
              </w:rPr>
              <w:t xml:space="preserve">, figura que sí corresponde a sociedad civil organizada y que multiplica el alcance del modelo hacia sus afiliados. Es un criterio de selección deseable, </w:t>
            </w:r>
            <w:r>
              <w:rPr>
                <w:rFonts w:ascii="Calibri" w:hAnsi="Calibri"/>
                <w:b/>
                <w:color w:val="2B2B2B"/>
                <w:sz w:val="20"/>
              </w:rPr>
              <w:t>no un requisito del diseño</w:t>
            </w:r>
            <w:r>
              <w:rPr>
                <w:rFonts w:ascii="Calibri" w:hAnsi="Calibri"/>
                <w:b w:val="0"/>
                <w:color w:val="2B2B2B"/>
                <w:sz w:val="20"/>
              </w:rPr>
              <w:t>: si las tres organizaciones que finalmente firmen el Anexo 3 son pymes individuales, este ítem pasa a "No" y así deberá corregirse en el formato oficial.</w:t>
            </w:r>
          </w:p>
        </w:tc>
      </w:tr>
      <w:tr>
        <w:tc>
          <w:tcPr>
            <w:tcW w:type="dxa" w:w="3264"/>
            <w:shd w:val="clear" w:fill="F5F7F5"/>
            <w:shd w:val="clear" w:fill="F5F7F5"/>
          </w:tcPr>
          <w:p>
            <w:r/>
            <w:r>
              <w:rPr>
                <w:rFonts w:ascii="Calibri" w:hAnsi="Calibri"/>
                <w:b w:val="0"/>
                <w:color w:val="2B2B2B"/>
                <w:sz w:val="20"/>
              </w:rPr>
              <w:t>¿La propuesta contempla la articulación efectiva con actores del sector externo (empresas, ONG, entidades)?</w:t>
            </w:r>
          </w:p>
        </w:tc>
        <w:tc>
          <w:tcPr>
            <w:tcW w:type="dxa" w:w="3264"/>
            <w:shd w:val="clear" w:fill="F5F7F5"/>
            <w:shd w:val="clear" w:fill="F5F7F5"/>
          </w:tcPr>
          <w:p>
            <w:r/>
            <w:r>
              <w:rPr>
                <w:rFonts w:ascii="Calibri" w:hAnsi="Calibri"/>
                <w:b/>
                <w:color w:val="2B2B2B"/>
                <w:sz w:val="20"/>
              </w:rPr>
              <w:t>Sí</w:t>
            </w:r>
          </w:p>
        </w:tc>
        <w:tc>
          <w:tcPr>
            <w:tcW w:type="dxa" w:w="3264"/>
            <w:shd w:val="clear" w:fill="F5F7F5"/>
            <w:shd w:val="clear" w:fill="F5F7F5"/>
          </w:tcPr>
          <w:p>
            <w:r/>
            <w:r>
              <w:rPr>
                <w:rFonts w:ascii="Calibri" w:hAnsi="Calibri"/>
                <w:b w:val="0"/>
                <w:color w:val="2B2B2B"/>
                <w:sz w:val="20"/>
              </w:rPr>
              <w:t xml:space="preserve">Es el núcleo de la propuesta, no un añadido: entre </w:t>
            </w:r>
            <w:r>
              <w:rPr>
                <w:rFonts w:ascii="Calibri" w:hAnsi="Calibri"/>
                <w:b/>
                <w:color w:val="2B2B2B"/>
                <w:sz w:val="20"/>
              </w:rPr>
              <w:t>tres (3) y cinco (5) pymes</w:t>
            </w:r>
            <w:r>
              <w:rPr>
                <w:rFonts w:ascii="Calibri" w:hAnsi="Calibri"/>
                <w:b w:val="0"/>
                <w:color w:val="2B2B2B"/>
                <w:sz w:val="20"/>
              </w:rPr>
              <w:t xml:space="preserve"> participan como organizaciones diagnosticadas, validadoras del modelo de buenas prácticas y destinatarias de la cartilla, con </w:t>
            </w:r>
            <w:r>
              <w:rPr>
                <w:rFonts w:ascii="Calibri" w:hAnsi="Calibri"/>
                <w:b/>
                <w:color w:val="2B2B2B"/>
                <w:sz w:val="20"/>
              </w:rPr>
              <w:t>Anexo 3 (Carta de Aval e Intención) firmado por cada una</w:t>
            </w:r>
            <w:r>
              <w:rPr>
                <w:rFonts w:ascii="Calibri" w:hAnsi="Calibri"/>
                <w:b w:val="0"/>
                <w:color w:val="2B2B2B"/>
                <w:sz w:val="20"/>
              </w:rPr>
              <w:t xml:space="preserve"> y contacto previo con la DNI conforme al Parágrafo 2 del numeral 5.1. La articulación es investigativa y no de servicio: las organizaciones aportan datos y juicio de validación, y reciben resultados. Sin al menos tres cartas firmadas la propuesta no se radica (pendiente 5).</w:t>
            </w:r>
          </w:p>
        </w:tc>
      </w:tr>
      <w:tr>
        <w:tc>
          <w:tcPr>
            <w:tcW w:type="dxa" w:w="3264"/>
          </w:tcPr>
          <w:p>
            <w:r/>
            <w:r>
              <w:rPr>
                <w:rFonts w:ascii="Calibri" w:hAnsi="Calibri"/>
                <w:b w:val="0"/>
                <w:color w:val="2B2B2B"/>
                <w:sz w:val="20"/>
              </w:rPr>
              <w:t>¿La propuesta contempla la articulación efectiva con organizaciones de carácter internacional?</w:t>
            </w:r>
          </w:p>
        </w:tc>
        <w:tc>
          <w:tcPr>
            <w:tcW w:type="dxa" w:w="3264"/>
          </w:tcPr>
          <w:p>
            <w:r/>
            <w:r>
              <w:rPr>
                <w:rFonts w:ascii="Calibri" w:hAnsi="Calibri"/>
                <w:b/>
                <w:color w:val="2B2B2B"/>
                <w:sz w:val="20"/>
              </w:rPr>
              <w:t>No</w:t>
            </w:r>
          </w:p>
        </w:tc>
        <w:tc>
          <w:tcPr>
            <w:tcW w:type="dxa" w:w="3264"/>
          </w:tcPr>
          <w:p>
            <w:r/>
            <w:r>
              <w:rPr>
                <w:rFonts w:ascii="Calibri" w:hAnsi="Calibri"/>
                <w:b w:val="0"/>
                <w:color w:val="2B2B2B"/>
                <w:sz w:val="20"/>
              </w:rPr>
              <w:t xml:space="preserve">No aplica en el alcance de 12 semanas. Se usan marcos internacionales de referencia (ISO/IEC 27001:2022, NIST CSF, informes de ENISA sobre pymes), pero </w:t>
            </w:r>
            <w:r>
              <w:rPr>
                <w:rFonts w:ascii="Calibri" w:hAnsi="Calibri"/>
                <w:b/>
                <w:color w:val="2B2B2B"/>
                <w:sz w:val="20"/>
              </w:rPr>
              <w:t>consultar un estándar no es articularse con una organización</w:t>
            </w:r>
            <w:r>
              <w:rPr>
                <w:rFonts w:ascii="Calibri" w:hAnsi="Calibri"/>
                <w:b w:val="0"/>
                <w:color w:val="2B2B2B"/>
                <w:sz w:val="20"/>
              </w:rPr>
              <w:t xml:space="preserve"> y no se presenta como tal.</w:t>
            </w:r>
          </w:p>
        </w:tc>
      </w:tr>
      <w:tr>
        <w:tc>
          <w:tcPr>
            <w:tcW w:type="dxa" w:w="3264"/>
            <w:shd w:val="clear" w:fill="F5F7F5"/>
            <w:shd w:val="clear" w:fill="F5F7F5"/>
          </w:tcPr>
          <w:p>
            <w:r/>
            <w:r>
              <w:rPr>
                <w:rFonts w:ascii="Calibri" w:hAnsi="Calibri"/>
                <w:b w:val="0"/>
                <w:color w:val="2B2B2B"/>
                <w:sz w:val="20"/>
              </w:rPr>
              <w:t>¿La propuesta contempla incluir mecanismos de financiación externa? ¿En qué consisten?</w:t>
            </w:r>
          </w:p>
        </w:tc>
        <w:tc>
          <w:tcPr>
            <w:tcW w:type="dxa" w:w="3264"/>
            <w:shd w:val="clear" w:fill="F5F7F5"/>
            <w:shd w:val="clear" w:fill="F5F7F5"/>
          </w:tcPr>
          <w:p>
            <w:r/>
            <w:r>
              <w:rPr>
                <w:rFonts w:ascii="Calibri" w:hAnsi="Calibri"/>
                <w:b/>
                <w:color w:val="2B2B2B"/>
                <w:sz w:val="20"/>
              </w:rPr>
              <w:t>No</w:t>
            </w:r>
          </w:p>
        </w:tc>
        <w:tc>
          <w:tcPr>
            <w:tcW w:type="dxa" w:w="3264"/>
            <w:shd w:val="clear" w:fill="F5F7F5"/>
            <w:shd w:val="clear" w:fill="F5F7F5"/>
          </w:tcPr>
          <w:p>
            <w:r/>
            <w:r>
              <w:rPr>
                <w:rFonts w:ascii="Calibri" w:hAnsi="Calibri"/>
                <w:b w:val="0"/>
                <w:color w:val="2B2B2B"/>
                <w:sz w:val="20"/>
              </w:rPr>
              <w:t xml:space="preserve">La ejecución se financia con los $4.980.000 solicitados a la convocatoria. Se declara, en cambio, un </w:t>
            </w:r>
            <w:r>
              <w:rPr>
                <w:rFonts w:ascii="Calibri" w:hAnsi="Calibri"/>
                <w:b/>
                <w:color w:val="2B2B2B"/>
                <w:sz w:val="20"/>
              </w:rPr>
              <w:t>aporte en especie no monetario de las pymes participantes</w:t>
            </w:r>
            <w:r>
              <w:rPr>
                <w:rFonts w:ascii="Calibri" w:hAnsi="Calibri"/>
                <w:b w:val="0"/>
                <w:color w:val="2B2B2B"/>
                <w:sz w:val="20"/>
              </w:rPr>
              <w:t xml:space="preserve">: tiempo de su personal para el diagnóstico y la validación, y preparación de registros anonimizados o sintéticos. No hay transferencia de recursos en ninguna dirección y </w:t>
            </w:r>
            <w:r>
              <w:rPr>
                <w:rFonts w:ascii="Calibri" w:hAnsi="Calibri"/>
                <w:b/>
                <w:color w:val="2B2B2B"/>
                <w:sz w:val="20"/>
              </w:rPr>
              <w:t>no se solicita ni se acepta contraprestación económica de las organizaciones</w:t>
            </w:r>
            <w:r>
              <w:rPr>
                <w:rFonts w:ascii="Calibri" w:hAnsi="Calibri"/>
                <w:b w:val="0"/>
                <w:color w:val="2B2B2B"/>
                <w:sz w:val="20"/>
              </w:rPr>
              <w:t>, para no comprometer la independencia del diagnóstico.</w:t>
            </w:r>
          </w:p>
        </w:tc>
      </w:tr>
    </w:tbl>
    <w:p/>
    <w:p>
      <w:pPr>
        <w:spacing w:before="200" w:after="60"/>
      </w:pPr>
      <w:r>
        <w:rPr>
          <w:rFonts w:ascii="Calibri" w:hAnsi="Calibri"/>
          <w:b/>
          <w:color w:val="007433"/>
          <w:sz w:val="32"/>
        </w:rPr>
        <w:t>Tipo de propuesta</w:t>
      </w:r>
    </w:p>
    <w:p>
      <w:r>
        <w:rPr>
          <w:rFonts w:ascii="Calibri" w:hAnsi="Calibri"/>
          <w:b w:val="0"/>
          <w:color w:val="2B2B2B"/>
          <w:sz w:val="22"/>
        </w:rPr>
        <w:t>Marque con una X.</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Tipo</w:t>
            </w:r>
          </w:p>
        </w:tc>
        <w:tc>
          <w:tcPr>
            <w:tcW w:type="dxa" w:w="4896"/>
            <w:shd w:val="clear" w:fill="0C2340"/>
            <w:shd w:val="clear" w:fill="0C2340"/>
          </w:tcPr>
          <w:p>
            <w:r>
              <w:rPr>
                <w:rFonts w:ascii="Calibri" w:hAnsi="Calibri"/>
                <w:b/>
                <w:color w:val="FFFFFF"/>
              </w:rPr>
            </w:r>
            <w:r>
              <w:rPr>
                <w:rFonts w:ascii="Calibri" w:hAnsi="Calibri"/>
                <w:b/>
                <w:color w:val="FFFFFF"/>
                <w:sz w:val="21"/>
              </w:rPr>
              <w:t>Marca</w:t>
            </w:r>
          </w:p>
        </w:tc>
      </w:tr>
      <w:tr>
        <w:tc>
          <w:tcPr>
            <w:tcW w:type="dxa" w:w="4896"/>
          </w:tcPr>
          <w:p>
            <w:r/>
            <w:r>
              <w:rPr>
                <w:rFonts w:ascii="Calibri" w:hAnsi="Calibri"/>
                <w:b/>
                <w:color w:val="2B2B2B"/>
                <w:sz w:val="20"/>
              </w:rPr>
              <w:t>Investigación</w:t>
            </w:r>
          </w:p>
        </w:tc>
        <w:tc>
          <w:tcPr>
            <w:tcW w:type="dxa" w:w="4896"/>
          </w:tcPr>
          <w:p>
            <w:r/>
            <w:r>
              <w:rPr>
                <w:rFonts w:ascii="Calibri" w:hAnsi="Calibri"/>
                <w:b/>
                <w:color w:val="2B2B2B"/>
                <w:sz w:val="20"/>
              </w:rPr>
              <w:t>X</w:t>
            </w:r>
          </w:p>
        </w:tc>
      </w:tr>
      <w:tr>
        <w:tc>
          <w:tcPr>
            <w:tcW w:type="dxa" w:w="4896"/>
            <w:shd w:val="clear" w:fill="F5F7F5"/>
            <w:shd w:val="clear" w:fill="F5F7F5"/>
          </w:tcPr>
          <w:p>
            <w:r/>
            <w:r>
              <w:rPr>
                <w:rFonts w:ascii="Calibri" w:hAnsi="Calibri"/>
                <w:b w:val="0"/>
                <w:color w:val="2B2B2B"/>
                <w:sz w:val="20"/>
              </w:rPr>
              <w:t>Productiva</w:t>
            </w:r>
          </w:p>
        </w:tc>
        <w:tc>
          <w:tcPr>
            <w:tcW w:type="dxa" w:w="4896"/>
            <w:shd w:val="clear" w:fill="F5F7F5"/>
            <w:shd w:val="clear" w:fill="F5F7F5"/>
          </w:tcPr>
          <w:p>
            <w:r/>
          </w:p>
        </w:tc>
      </w:tr>
      <w:tr>
        <w:tc>
          <w:tcPr>
            <w:tcW w:type="dxa" w:w="4896"/>
          </w:tcPr>
          <w:p>
            <w:r/>
            <w:r>
              <w:rPr>
                <w:rFonts w:ascii="Calibri" w:hAnsi="Calibri"/>
                <w:b w:val="0"/>
                <w:color w:val="2B2B2B"/>
                <w:sz w:val="20"/>
              </w:rPr>
              <w:t>Innovación</w:t>
            </w:r>
          </w:p>
        </w:tc>
        <w:tc>
          <w:tcPr>
            <w:tcW w:type="dxa" w:w="4896"/>
          </w:tcPr>
          <w:p>
            <w:r/>
          </w:p>
        </w:tc>
      </w:tr>
      <w:tr>
        <w:tc>
          <w:tcPr>
            <w:tcW w:type="dxa" w:w="4896"/>
            <w:shd w:val="clear" w:fill="F5F7F5"/>
            <w:shd w:val="clear" w:fill="F5F7F5"/>
          </w:tcPr>
          <w:p>
            <w:r/>
            <w:r>
              <w:rPr>
                <w:rFonts w:ascii="Calibri" w:hAnsi="Calibri"/>
                <w:b w:val="0"/>
                <w:color w:val="2B2B2B"/>
                <w:sz w:val="20"/>
              </w:rPr>
              <w:t>Pedagógica</w:t>
            </w:r>
          </w:p>
        </w:tc>
        <w:tc>
          <w:tcPr>
            <w:tcW w:type="dxa" w:w="4896"/>
            <w:shd w:val="clear" w:fill="F5F7F5"/>
            <w:shd w:val="clear" w:fill="F5F7F5"/>
          </w:tcPr>
          <w:p>
            <w:r/>
          </w:p>
        </w:tc>
      </w:tr>
      <w:tr>
        <w:tc>
          <w:tcPr>
            <w:tcW w:type="dxa" w:w="4896"/>
          </w:tcPr>
          <w:p>
            <w:r/>
            <w:r>
              <w:rPr>
                <w:rFonts w:ascii="Calibri" w:hAnsi="Calibri"/>
                <w:b w:val="0"/>
                <w:color w:val="2B2B2B"/>
                <w:sz w:val="20"/>
              </w:rPr>
              <w:t>Proyección Social</w:t>
            </w:r>
          </w:p>
        </w:tc>
        <w:tc>
          <w:tcPr>
            <w:tcW w:type="dxa" w:w="4896"/>
          </w:tcPr>
          <w:p>
            <w:r/>
          </w:p>
        </w:tc>
      </w:tr>
      <w:tr>
        <w:tc>
          <w:tcPr>
            <w:tcW w:type="dxa" w:w="4896"/>
            <w:shd w:val="clear" w:fill="F5F7F5"/>
            <w:shd w:val="clear" w:fill="F5F7F5"/>
          </w:tcPr>
          <w:p>
            <w:r/>
            <w:r>
              <w:rPr>
                <w:rFonts w:ascii="Calibri" w:hAnsi="Calibri"/>
                <w:b w:val="0"/>
                <w:color w:val="2B2B2B"/>
                <w:sz w:val="20"/>
              </w:rPr>
              <w:t>Desarrollo de Software</w:t>
            </w:r>
          </w:p>
        </w:tc>
        <w:tc>
          <w:tcPr>
            <w:tcW w:type="dxa" w:w="4896"/>
            <w:shd w:val="clear" w:fill="F5F7F5"/>
            <w:shd w:val="clear" w:fill="F5F7F5"/>
          </w:tcPr>
          <w:p>
            <w:r/>
          </w:p>
        </w:tc>
      </w:tr>
      <w:tr>
        <w:tc>
          <w:tcPr>
            <w:tcW w:type="dxa" w:w="4896"/>
          </w:tcPr>
          <w:p>
            <w:r/>
            <w:r>
              <w:rPr>
                <w:rFonts w:ascii="Calibri" w:hAnsi="Calibri"/>
                <w:b w:val="0"/>
                <w:color w:val="2B2B2B"/>
                <w:sz w:val="20"/>
              </w:rPr>
              <w:t>Obra Creación</w:t>
            </w:r>
          </w:p>
        </w:tc>
        <w:tc>
          <w:tcPr>
            <w:tcW w:type="dxa" w:w="4896"/>
          </w:tcPr>
          <w:p>
            <w:r/>
          </w:p>
        </w:tc>
      </w:tr>
      <w:tr>
        <w:tc>
          <w:tcPr>
            <w:tcW w:type="dxa" w:w="4896"/>
            <w:shd w:val="clear" w:fill="F5F7F5"/>
            <w:shd w:val="clear" w:fill="F5F7F5"/>
          </w:tcPr>
          <w:p>
            <w:r/>
            <w:r>
              <w:rPr>
                <w:rFonts w:ascii="Calibri" w:hAnsi="Calibri"/>
                <w:b w:val="0"/>
                <w:color w:val="2B2B2B"/>
                <w:sz w:val="20"/>
              </w:rPr>
              <w:t>Otro</w:t>
            </w:r>
          </w:p>
        </w:tc>
        <w:tc>
          <w:tcPr>
            <w:tcW w:type="dxa" w:w="4896"/>
            <w:shd w:val="clear" w:fill="F5F7F5"/>
            <w:shd w:val="clear" w:fill="F5F7F5"/>
          </w:tcPr>
          <w:p>
            <w:r/>
          </w:p>
        </w:tc>
      </w:tr>
    </w:tbl>
    <w:p/>
    <w:p>
      <w:r>
        <w:rPr>
          <w:rFonts w:ascii="Calibri" w:hAnsi="Calibri"/>
          <w:b/>
          <w:color w:val="2B2B2B"/>
          <w:sz w:val="22"/>
        </w:rPr>
        <w:t>Justificación de la selección.</w:t>
      </w:r>
      <w:r>
        <w:rPr>
          <w:rFonts w:ascii="Calibri" w:hAnsi="Calibri"/>
          <w:b w:val="0"/>
          <w:color w:val="2B2B2B"/>
          <w:sz w:val="22"/>
        </w:rPr>
        <w:t xml:space="preserve"> Se marca </w:t>
      </w:r>
      <w:r>
        <w:rPr>
          <w:rFonts w:ascii="Calibri" w:hAnsi="Calibri"/>
          <w:b/>
          <w:color w:val="2B2B2B"/>
          <w:sz w:val="22"/>
        </w:rPr>
        <w:t>Investigación</w:t>
      </w:r>
      <w:r>
        <w:rPr>
          <w:rFonts w:ascii="Calibri" w:hAnsi="Calibri"/>
          <w:b w:val="0"/>
          <w:color w:val="2B2B2B"/>
          <w:sz w:val="22"/>
        </w:rPr>
        <w:t xml:space="preserve"> porque el resultado central del proyecto</w:t>
      </w:r>
    </w:p>
    <w:p>
      <w:r>
        <w:rPr>
          <w:rFonts w:ascii="Calibri" w:hAnsi="Calibri"/>
          <w:b w:val="0"/>
          <w:color w:val="2B2B2B"/>
          <w:sz w:val="22"/>
        </w:rPr>
        <w:t>es evidencia empírica que hoy no existe: el nivel de madurez en protección de datos personales y</w:t>
      </w:r>
    </w:p>
    <w:p>
      <w:r>
        <w:rPr>
          <w:rFonts w:ascii="Calibri" w:hAnsi="Calibri"/>
          <w:b w:val="0"/>
          <w:color w:val="2B2B2B"/>
          <w:sz w:val="22"/>
        </w:rPr>
        <w:t>ciberseguridad de un conjunto de pymes aliadas de la CUN, medido con un instrumento construido para</w:t>
      </w:r>
    </w:p>
    <w:p>
      <w:r>
        <w:rPr>
          <w:rFonts w:ascii="Calibri" w:hAnsi="Calibri"/>
          <w:b w:val="0"/>
          <w:color w:val="2B2B2B"/>
          <w:sz w:val="22"/>
        </w:rPr>
        <w:t>esa escala, con anclas explícitas y con acuerdo entre evaluadores reportado. Todo lo demás —el modelo</w:t>
      </w:r>
    </w:p>
    <w:p>
      <w:r>
        <w:rPr>
          <w:rFonts w:ascii="Calibri" w:hAnsi="Calibri"/>
          <w:b w:val="0"/>
          <w:color w:val="2B2B2B"/>
          <w:sz w:val="22"/>
        </w:rPr>
        <w:t>de buenas prácticas, la cartilla, el prototipo— se deriva de ese diagnóstico y sería arbitrario sin él.</w:t>
      </w:r>
    </w:p>
    <w:p>
      <w:r>
        <w:rPr>
          <w:rFonts w:ascii="Calibri" w:hAnsi="Calibri"/>
          <w:b/>
          <w:color w:val="2B2B2B"/>
          <w:sz w:val="22"/>
        </w:rPr>
        <w:t>Por qué no las otras siete.</w:t>
      </w:r>
      <w:r>
        <w:rPr>
          <w:rFonts w:ascii="Calibri" w:hAnsi="Calibri"/>
          <w:b w:val="0"/>
          <w:color w:val="2B2B2B"/>
          <w:sz w:val="22"/>
        </w:rPr>
        <w:t xml:space="preserve"> No se marca </w:t>
      </w:r>
      <w:r>
        <w:rPr>
          <w:rFonts w:ascii="Calibri" w:hAnsi="Calibri"/>
          <w:b/>
          <w:color w:val="2B2B2B"/>
          <w:sz w:val="22"/>
        </w:rPr>
        <w:t>Proyección Social</w:t>
      </w:r>
      <w:r>
        <w:rPr>
          <w:rFonts w:ascii="Calibri" w:hAnsi="Calibri"/>
          <w:b w:val="0"/>
          <w:color w:val="2B2B2B"/>
          <w:sz w:val="22"/>
        </w:rPr>
        <w:t>, y conviene explicar por qué, porque</w:t>
      </w:r>
    </w:p>
    <w:p>
      <w:r>
        <w:rPr>
          <w:rFonts w:ascii="Calibri" w:hAnsi="Calibri"/>
          <w:b w:val="0"/>
          <w:color w:val="2B2B2B"/>
          <w:sz w:val="22"/>
        </w:rPr>
        <w:t>es la alternativa más defendible: la propuesta sí se articula con el sector externo, y esa articulación</w:t>
      </w:r>
    </w:p>
    <w:p>
      <w:r>
        <w:rPr>
          <w:rFonts w:ascii="Calibri" w:hAnsi="Calibri"/>
          <w:b w:val="0"/>
          <w:color w:val="2B2B2B"/>
          <w:sz w:val="22"/>
        </w:rPr>
        <w:t>es condición de existencia del estudio. Pero marcar Proyección Social desplazaría el centro de</w:t>
      </w:r>
    </w:p>
    <w:p>
      <w:r>
        <w:rPr>
          <w:rFonts w:ascii="Calibri" w:hAnsi="Calibri"/>
          <w:b w:val="0"/>
          <w:color w:val="2B2B2B"/>
          <w:sz w:val="22"/>
        </w:rPr>
        <w:t>gravedad del documento hacia la prestación de un servicio a terceros, y lo que se compromete aquí no es</w:t>
      </w:r>
    </w:p>
    <w:p>
      <w:r>
        <w:rPr>
          <w:rFonts w:ascii="Calibri" w:hAnsi="Calibri"/>
          <w:b w:val="0"/>
          <w:color w:val="2B2B2B"/>
          <w:sz w:val="22"/>
        </w:rPr>
        <w:t>un servicio: es un diagnóstico con instrumento validado, con criterios de calidad y con resultados</w:t>
      </w:r>
    </w:p>
    <w:p>
      <w:r>
        <w:rPr>
          <w:rFonts w:ascii="Calibri" w:hAnsi="Calibri"/>
          <w:b w:val="0"/>
          <w:color w:val="2B2B2B"/>
          <w:sz w:val="22"/>
        </w:rPr>
        <w:t>publicables, incluidos los desfavorables. La dimensión de proyección social **ya está valorada donde el</w:t>
      </w:r>
    </w:p>
    <w:p>
      <w:r>
        <w:rPr>
          <w:rFonts w:ascii="Calibri" w:hAnsi="Calibri"/>
          <w:b w:val="0"/>
          <w:color w:val="2B2B2B"/>
          <w:sz w:val="22"/>
        </w:rPr>
        <w:t>formato la puntúa** —la fila de articulación con actores del sector externo de "Elementos</w:t>
      </w:r>
    </w:p>
    <w:p>
      <w:r>
        <w:rPr>
          <w:rFonts w:ascii="Calibri" w:hAnsi="Calibri"/>
          <w:b w:val="0"/>
          <w:color w:val="2B2B2B"/>
          <w:sz w:val="22"/>
        </w:rPr>
        <w:t xml:space="preserve">preliminares"— y </w:t>
      </w:r>
      <w:r>
        <w:rPr>
          <w:rFonts w:ascii="Calibri" w:hAnsi="Calibri"/>
          <w:b/>
          <w:color w:val="2B2B2B"/>
          <w:sz w:val="22"/>
        </w:rPr>
        <w:t>ya está tramitada donde la convocatoria lo exige</w:t>
      </w:r>
      <w:r>
        <w:rPr>
          <w:rFonts w:ascii="Calibri" w:hAnsi="Calibri"/>
          <w:b w:val="0"/>
          <w:color w:val="2B2B2B"/>
          <w:sz w:val="22"/>
        </w:rPr>
        <w:t>: el Parágrafo 2 del numeral 5.1 y</w:t>
      </w:r>
    </w:p>
    <w:p>
      <w:r>
        <w:rPr>
          <w:rFonts w:ascii="Calibri" w:hAnsi="Calibri"/>
          <w:b w:val="0"/>
          <w:color w:val="2B2B2B"/>
          <w:sz w:val="22"/>
        </w:rPr>
        <w:t>el Anexo 3. No se pierde nada por no marcarla y se gana precisión sobre lo que se entrega.</w:t>
      </w:r>
    </w:p>
    <w:p>
      <w:r>
        <w:rPr>
          <w:rFonts w:ascii="Calibri" w:hAnsi="Calibri"/>
          <w:b w:val="0"/>
          <w:color w:val="2B2B2B"/>
          <w:sz w:val="22"/>
        </w:rPr>
        <w:t xml:space="preserve">No se marca </w:t>
      </w:r>
      <w:r>
        <w:rPr>
          <w:rFonts w:ascii="Calibri" w:hAnsi="Calibri"/>
          <w:b/>
          <w:color w:val="2B2B2B"/>
          <w:sz w:val="22"/>
        </w:rPr>
        <w:t>Desarrollo de Software</w:t>
      </w:r>
      <w:r>
        <w:rPr>
          <w:rFonts w:ascii="Calibri" w:hAnsi="Calibri"/>
          <w:b w:val="0"/>
          <w:color w:val="2B2B2B"/>
          <w:sz w:val="22"/>
        </w:rPr>
        <w:t xml:space="preserve"> porque el prototipo de detección de anomalías es un instrumento</w:t>
      </w:r>
    </w:p>
    <w:p>
      <w:r>
        <w:rPr>
          <w:rFonts w:ascii="Calibri" w:hAnsi="Calibri"/>
          <w:b w:val="0"/>
          <w:color w:val="2B2B2B"/>
          <w:sz w:val="22"/>
        </w:rPr>
        <w:t>de la investigación, no el producto que la justifica: son unos cientos de líneas de Python sobre</w:t>
      </w:r>
    </w:p>
    <w:p>
      <w:r>
        <w:rPr>
          <w:rFonts w:ascii="Calibri" w:hAnsi="Calibri"/>
          <w:b w:val="0"/>
          <w:color w:val="2B2B2B"/>
          <w:sz w:val="22"/>
        </w:rPr>
        <w:t>librerías de código abierto, sin interfaz, sin despliegue y sin mantenimiento comprometido; pedir</w:t>
      </w:r>
    </w:p>
    <w:p>
      <w:r>
        <w:rPr>
          <w:rFonts w:ascii="Calibri" w:hAnsi="Calibri"/>
          <w:b w:val="0"/>
          <w:color w:val="2B2B2B"/>
          <w:sz w:val="22"/>
        </w:rPr>
        <w:t>recursos como si fuera un desarrollo sería inflar el rubro y prometer un artefacto que en 12 semanas no</w:t>
      </w:r>
    </w:p>
    <w:p>
      <w:r>
        <w:rPr>
          <w:rFonts w:ascii="Calibri" w:hAnsi="Calibri"/>
          <w:b w:val="0"/>
          <w:color w:val="2B2B2B"/>
          <w:sz w:val="22"/>
        </w:rPr>
        <w:t xml:space="preserve">alcanzaría condición de producto. No se marca </w:t>
      </w:r>
      <w:r>
        <w:rPr>
          <w:rFonts w:ascii="Calibri" w:hAnsi="Calibri"/>
          <w:b/>
          <w:color w:val="2B2B2B"/>
          <w:sz w:val="22"/>
        </w:rPr>
        <w:t>Innovación</w:t>
      </w:r>
      <w:r>
        <w:rPr>
          <w:rFonts w:ascii="Calibri" w:hAnsi="Calibri"/>
          <w:b w:val="0"/>
          <w:color w:val="2B2B2B"/>
          <w:sz w:val="22"/>
        </w:rPr>
        <w:t xml:space="preserve"> porque no se introduce una práctica nueva</w:t>
      </w:r>
    </w:p>
    <w:p>
      <w:r>
        <w:rPr>
          <w:rFonts w:ascii="Calibri" w:hAnsi="Calibri"/>
          <w:b w:val="0"/>
          <w:color w:val="2B2B2B"/>
          <w:sz w:val="22"/>
        </w:rPr>
        <w:t>en un proceso ya operante: no hay flujo previo que mejorar, hay una línea base que no existe y que este</w:t>
      </w:r>
    </w:p>
    <w:p>
      <w:r>
        <w:rPr>
          <w:rFonts w:ascii="Calibri" w:hAnsi="Calibri"/>
          <w:b w:val="0"/>
          <w:color w:val="2B2B2B"/>
          <w:sz w:val="22"/>
        </w:rPr>
        <w:t xml:space="preserve">proyecto construye. No se marca </w:t>
      </w:r>
      <w:r>
        <w:rPr>
          <w:rFonts w:ascii="Calibri" w:hAnsi="Calibri"/>
          <w:b/>
          <w:color w:val="2B2B2B"/>
          <w:sz w:val="22"/>
        </w:rPr>
        <w:t>Productiva</w:t>
      </w:r>
      <w:r>
        <w:rPr>
          <w:rFonts w:ascii="Calibri" w:hAnsi="Calibri"/>
          <w:b w:val="0"/>
          <w:color w:val="2B2B2B"/>
          <w:sz w:val="22"/>
        </w:rPr>
        <w:t xml:space="preserve"> porque no se genera un bien o servicio comercializable</w:t>
      </w:r>
    </w:p>
    <w:p>
      <w:r>
        <w:rPr>
          <w:rFonts w:ascii="Calibri" w:hAnsi="Calibri"/>
          <w:b w:val="0"/>
          <w:color w:val="2B2B2B"/>
          <w:sz w:val="22"/>
        </w:rPr>
        <w:t xml:space="preserve">ni se persigue retorno económico. No se marca </w:t>
      </w:r>
      <w:r>
        <w:rPr>
          <w:rFonts w:ascii="Calibri" w:hAnsi="Calibri"/>
          <w:b/>
          <w:color w:val="2B2B2B"/>
          <w:sz w:val="22"/>
        </w:rPr>
        <w:t>Pedagógica</w:t>
      </w:r>
      <w:r>
        <w:rPr>
          <w:rFonts w:ascii="Calibri" w:hAnsi="Calibri"/>
          <w:b w:val="0"/>
          <w:color w:val="2B2B2B"/>
          <w:sz w:val="22"/>
        </w:rPr>
        <w:t xml:space="preserve"> porque no interviene aula, currículo ni</w:t>
      </w:r>
    </w:p>
    <w:p>
      <w:r>
        <w:rPr>
          <w:rFonts w:ascii="Calibri" w:hAnsi="Calibri"/>
          <w:b w:val="0"/>
          <w:color w:val="2B2B2B"/>
          <w:sz w:val="22"/>
        </w:rPr>
        <w:t>evaluación de aprendizajes; la cartilla es apropiación social del conocimiento, no diseño</w:t>
      </w:r>
    </w:p>
    <w:p>
      <w:r>
        <w:rPr>
          <w:rFonts w:ascii="Calibri" w:hAnsi="Calibri"/>
          <w:b w:val="0"/>
          <w:color w:val="2B2B2B"/>
          <w:sz w:val="22"/>
        </w:rPr>
        <w:t xml:space="preserve">instruccional. No se marca </w:t>
      </w:r>
      <w:r>
        <w:rPr>
          <w:rFonts w:ascii="Calibri" w:hAnsi="Calibri"/>
          <w:b/>
          <w:color w:val="2B2B2B"/>
          <w:sz w:val="22"/>
        </w:rPr>
        <w:t>Obra Creación</w:t>
      </w:r>
      <w:r>
        <w:rPr>
          <w:rFonts w:ascii="Calibri" w:hAnsi="Calibri"/>
          <w:b w:val="0"/>
          <w:color w:val="2B2B2B"/>
          <w:sz w:val="22"/>
        </w:rPr>
        <w:t xml:space="preserve"> porque no hay producción artística. Y no se marca </w:t>
      </w:r>
      <w:r>
        <w:rPr>
          <w:rFonts w:ascii="Calibri" w:hAnsi="Calibri"/>
          <w:b/>
          <w:color w:val="2B2B2B"/>
          <w:sz w:val="22"/>
        </w:rPr>
        <w:t>Otro</w:t>
      </w:r>
    </w:p>
    <w:p>
      <w:r>
        <w:rPr>
          <w:rFonts w:ascii="Calibri" w:hAnsi="Calibri"/>
          <w:b w:val="0"/>
          <w:color w:val="2B2B2B"/>
          <w:sz w:val="22"/>
        </w:rPr>
        <w:t>porque "Investigación" describe el trabajo con exactitud y usar la casilla abierta cuando una de las</w:t>
      </w:r>
    </w:p>
    <w:p>
      <w:r>
        <w:rPr>
          <w:rFonts w:ascii="Calibri" w:hAnsi="Calibri"/>
          <w:b w:val="0"/>
          <w:color w:val="2B2B2B"/>
          <w:sz w:val="22"/>
        </w:rPr>
        <w:t>categorías aplica solo dificulta la evaluación.</w:t>
      </w:r>
    </w:p>
    <w:p>
      <w:pPr>
        <w:spacing w:before="200" w:after="60"/>
      </w:pPr>
      <w:r>
        <w:rPr>
          <w:rFonts w:ascii="Calibri" w:hAnsi="Calibri"/>
          <w:b/>
          <w:color w:val="007433"/>
          <w:sz w:val="32"/>
        </w:rPr>
        <w:t>Resumen</w:t>
      </w:r>
    </w:p>
    <w:p>
      <w:r>
        <w:rPr>
          <w:rFonts w:ascii="Calibri" w:hAnsi="Calibri"/>
          <w:b w:val="0"/>
          <w:color w:val="2B2B2B"/>
          <w:sz w:val="22"/>
        </w:rPr>
        <w:t xml:space="preserve">*(Máximo 200 palabras. Conteo real, verificado con </w:t>
      </w:r>
      <w:r>
        <w:rPr>
          <w:rFonts w:ascii="Consolas" w:hAnsi="Consolas"/>
          <w:color w:val="111111"/>
          <w:sz w:val="21"/>
        </w:rPr>
        <w:t>wc -w</w:t>
      </w:r>
      <w:r>
        <w:rPr>
          <w:rFonts w:ascii="Calibri" w:hAnsi="Calibri"/>
          <w:b w:val="0"/>
          <w:color w:val="2B2B2B"/>
          <w:sz w:val="22"/>
        </w:rPr>
        <w:t xml:space="preserve"> sobre el texto del párrafo: **196</w:t>
      </w:r>
    </w:p>
    <w:p>
      <w:r>
        <w:rPr>
          <w:rFonts w:ascii="Calibri" w:hAnsi="Calibri"/>
          <w:b w:val="0"/>
          <w:color w:val="2B2B2B"/>
          <w:sz w:val="22"/>
        </w:rPr>
        <w:t>palabras**.)*</w:t>
      </w:r>
    </w:p>
    <w:p>
      <w:r>
        <w:rPr>
          <w:rFonts w:ascii="Calibri" w:hAnsi="Calibri"/>
          <w:b w:val="0"/>
          <w:color w:val="2B2B2B"/>
          <w:sz w:val="22"/>
        </w:rPr>
        <w:t>Las pymes colombianas están sujetas a las mismas obligaciones de protección de datos personales que una</w:t>
      </w:r>
    </w:p>
    <w:p>
      <w:r>
        <w:rPr>
          <w:rFonts w:ascii="Calibri" w:hAnsi="Calibri"/>
          <w:b w:val="0"/>
          <w:color w:val="2B2B2B"/>
          <w:sz w:val="22"/>
        </w:rPr>
        <w:t>gran empresa, pero rara vez disponen de personal, presupuesto o instrumentos ajustados a su escala para</w:t>
      </w:r>
    </w:p>
    <w:p>
      <w:r>
        <w:rPr>
          <w:rFonts w:ascii="Calibri" w:hAnsi="Calibri"/>
          <w:b w:val="0"/>
          <w:color w:val="2B2B2B"/>
          <w:sz w:val="22"/>
        </w:rPr>
        <w:t>cumplirlas, y no existe línea base sobre su madurez real. Esta propuesta la construye con pymes aliadas</w:t>
      </w:r>
    </w:p>
    <w:p>
      <w:r>
        <w:rPr>
          <w:rFonts w:ascii="Calibri" w:hAnsi="Calibri"/>
          <w:b w:val="0"/>
          <w:color w:val="2B2B2B"/>
          <w:sz w:val="22"/>
        </w:rPr>
        <w:t>de la CUN. Primero elabora y somete a juicio de expertos un instrumento de diagnóstico derivado de la</w:t>
      </w:r>
    </w:p>
    <w:p>
      <w:r>
        <w:rPr>
          <w:rFonts w:ascii="Calibri" w:hAnsi="Calibri"/>
          <w:b w:val="0"/>
          <w:color w:val="2B2B2B"/>
          <w:sz w:val="22"/>
        </w:rPr>
        <w:t>Ley 1581 de 2012, del Decreto 1377 de 2013 y de controles de ISO/IEC 27001:2022, aplicable en una visita</w:t>
      </w:r>
    </w:p>
    <w:p>
      <w:r>
        <w:rPr>
          <w:rFonts w:ascii="Calibri" w:hAnsi="Calibri"/>
          <w:b w:val="0"/>
          <w:color w:val="2B2B2B"/>
          <w:sz w:val="22"/>
        </w:rPr>
        <w:t>corta y calificable con anclas explícitas. Lo aplica a entre tres y cinco organizaciones, con doble</w:t>
      </w:r>
    </w:p>
    <w:p>
      <w:r>
        <w:rPr>
          <w:rFonts w:ascii="Calibri" w:hAnsi="Calibri"/>
          <w:b w:val="0"/>
          <w:color w:val="2B2B2B"/>
          <w:sz w:val="22"/>
        </w:rPr>
        <w:t>calificación independiente en parte de la muestra para reportar acuerdo entre evaluadores. Con los</w:t>
      </w:r>
    </w:p>
    <w:p>
      <w:r>
        <w:rPr>
          <w:rFonts w:ascii="Calibri" w:hAnsi="Calibri"/>
          <w:b w:val="0"/>
          <w:color w:val="2B2B2B"/>
          <w:sz w:val="22"/>
        </w:rPr>
        <w:t>hallazgos construye un modelo de buenas prácticas —lista de verificación y protocolo operativo—</w:t>
      </w:r>
    </w:p>
    <w:p>
      <w:r>
        <w:rPr>
          <w:rFonts w:ascii="Calibri" w:hAnsi="Calibri"/>
          <w:b w:val="0"/>
          <w:color w:val="2B2B2B"/>
          <w:sz w:val="22"/>
        </w:rPr>
        <w:t>validado por las propias organizaciones. Como componente tecnológico desarrolla un prototipo de</w:t>
      </w:r>
    </w:p>
    <w:p>
      <w:r>
        <w:rPr>
          <w:rFonts w:ascii="Calibri" w:hAnsi="Calibri"/>
          <w:b w:val="0"/>
          <w:color w:val="2B2B2B"/>
          <w:sz w:val="22"/>
        </w:rPr>
        <w:t>detección de anomalías en registros de acceso mediante un modelo no supervisado (Isolation Forest,</w:t>
      </w:r>
    </w:p>
    <w:p>
      <w:r>
        <w:rPr>
          <w:rFonts w:ascii="Calibri" w:hAnsi="Calibri"/>
          <w:b w:val="0"/>
          <w:color w:val="2B2B2B"/>
          <w:sz w:val="22"/>
        </w:rPr>
        <w:t>scikit-learn), evaluado sobre registros sintéticos y anonimizados con anomalías inyectadas de referencia</w:t>
      </w:r>
    </w:p>
    <w:p>
      <w:r>
        <w:rPr>
          <w:rFonts w:ascii="Calibri" w:hAnsi="Calibri"/>
          <w:b w:val="0"/>
          <w:color w:val="2B2B2B"/>
          <w:sz w:val="22"/>
        </w:rPr>
        <w:t>conocida. El enfoque es mixto. En doce semanas se entregan el instrumento validado, el informe de</w:t>
      </w:r>
    </w:p>
    <w:p>
      <w:r>
        <w:rPr>
          <w:rFonts w:ascii="Calibri" w:hAnsi="Calibri"/>
          <w:b w:val="0"/>
          <w:color w:val="2B2B2B"/>
          <w:sz w:val="22"/>
        </w:rPr>
        <w:t>diagnóstico, el modelo, una cartilla en lenguaje no técnico y el prototipo documentado.</w:t>
      </w:r>
    </w:p>
    <w:p>
      <w:pPr>
        <w:spacing w:before="200" w:after="60"/>
      </w:pPr>
      <w:r>
        <w:rPr>
          <w:rFonts w:ascii="Calibri" w:hAnsi="Calibri"/>
          <w:b/>
          <w:color w:val="007433"/>
          <w:sz w:val="32"/>
        </w:rPr>
        <w:t>Relación general de la propuesta con los ejes temáticos dinamizadores</w:t>
      </w:r>
    </w:p>
    <w:p>
      <w:r>
        <w:rPr>
          <w:rFonts w:ascii="Calibri" w:hAnsi="Calibri"/>
          <w:b w:val="0"/>
          <w:color w:val="2B2B2B"/>
          <w:sz w:val="22"/>
        </w:rPr>
        <w:t>Seleccione (marque con una X) el eje dinamizador en el que se inscribe su propuesta:</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Grupo Temático</w:t>
            </w:r>
          </w:p>
        </w:tc>
        <w:tc>
          <w:tcPr>
            <w:tcW w:type="dxa" w:w="3264"/>
            <w:shd w:val="clear" w:fill="0C2340"/>
            <w:shd w:val="clear" w:fill="0C2340"/>
          </w:tcPr>
          <w:p>
            <w:r>
              <w:rPr>
                <w:rFonts w:ascii="Calibri" w:hAnsi="Calibri"/>
                <w:b/>
                <w:color w:val="FFFFFF"/>
              </w:rPr>
            </w:r>
            <w:r>
              <w:rPr>
                <w:rFonts w:ascii="Calibri" w:hAnsi="Calibri"/>
                <w:b/>
                <w:color w:val="FFFFFF"/>
                <w:sz w:val="21"/>
              </w:rPr>
              <w:t>Eje dinamizador</w:t>
            </w:r>
          </w:p>
        </w:tc>
        <w:tc>
          <w:tcPr>
            <w:tcW w:type="dxa" w:w="3264"/>
            <w:shd w:val="clear" w:fill="0C2340"/>
            <w:shd w:val="clear" w:fill="0C2340"/>
          </w:tcPr>
          <w:p>
            <w:r>
              <w:rPr>
                <w:rFonts w:ascii="Calibri" w:hAnsi="Calibri"/>
                <w:b/>
                <w:color w:val="FFFFFF"/>
              </w:rPr>
            </w:r>
            <w:r>
              <w:rPr>
                <w:rFonts w:ascii="Calibri" w:hAnsi="Calibri"/>
                <w:b/>
                <w:color w:val="FFFFFF"/>
                <w:sz w:val="21"/>
              </w:rPr>
              <w:t>Marca</w:t>
            </w:r>
          </w:p>
        </w:tc>
      </w:tr>
      <w:tr>
        <w:tc>
          <w:tcPr>
            <w:tcW w:type="dxa" w:w="3264"/>
          </w:tcPr>
          <w:p>
            <w:r/>
            <w:r>
              <w:rPr>
                <w:rFonts w:ascii="Calibri" w:hAnsi="Calibri"/>
                <w:b w:val="0"/>
                <w:color w:val="2B2B2B"/>
                <w:sz w:val="20"/>
              </w:rPr>
              <w:t>1 — Gestión y Tecnologías</w:t>
            </w:r>
          </w:p>
        </w:tc>
        <w:tc>
          <w:tcPr>
            <w:tcW w:type="dxa" w:w="3264"/>
          </w:tcPr>
          <w:p>
            <w:r/>
            <w:r>
              <w:rPr>
                <w:rFonts w:ascii="Calibri" w:hAnsi="Calibri"/>
                <w:b w:val="0"/>
                <w:color w:val="2B2B2B"/>
                <w:sz w:val="20"/>
              </w:rPr>
              <w:t>Desarrollo de Tecnologías Educativas</w:t>
            </w:r>
          </w:p>
        </w:tc>
        <w:tc>
          <w:tcPr>
            <w:tcW w:type="dxa" w:w="3264"/>
          </w:tcPr>
          <w:p>
            <w:r/>
          </w:p>
        </w:tc>
      </w:tr>
      <w:tr>
        <w:tc>
          <w:tcPr>
            <w:tcW w:type="dxa" w:w="3264"/>
            <w:shd w:val="clear" w:fill="F5F7F5"/>
            <w:shd w:val="clear" w:fill="F5F7F5"/>
          </w:tcPr>
          <w:p>
            <w:r/>
            <w:r>
              <w:rPr>
                <w:rFonts w:ascii="Calibri" w:hAnsi="Calibri"/>
                <w:b w:val="0"/>
                <w:color w:val="2B2B2B"/>
                <w:sz w:val="20"/>
              </w:rPr>
              <w:t>1 — Gestión y Tecnologías</w:t>
            </w:r>
          </w:p>
        </w:tc>
        <w:tc>
          <w:tcPr>
            <w:tcW w:type="dxa" w:w="3264"/>
            <w:shd w:val="clear" w:fill="F5F7F5"/>
            <w:shd w:val="clear" w:fill="F5F7F5"/>
          </w:tcPr>
          <w:p>
            <w:r/>
            <w:r>
              <w:rPr>
                <w:rFonts w:ascii="Calibri" w:hAnsi="Calibri"/>
                <w:b w:val="0"/>
                <w:color w:val="2B2B2B"/>
                <w:sz w:val="20"/>
              </w:rPr>
              <w:t>Tecnologías de la Información y la Comunicación e Internet de las Cosas (IoT)</w:t>
            </w:r>
          </w:p>
        </w:tc>
        <w:tc>
          <w:tcPr>
            <w:tcW w:type="dxa" w:w="3264"/>
            <w:shd w:val="clear" w:fill="F5F7F5"/>
            <w:shd w:val="clear" w:fill="F5F7F5"/>
          </w:tcPr>
          <w:p>
            <w:r/>
          </w:p>
        </w:tc>
      </w:tr>
      <w:tr>
        <w:tc>
          <w:tcPr>
            <w:tcW w:type="dxa" w:w="3264"/>
          </w:tcPr>
          <w:p>
            <w:r/>
            <w:r>
              <w:rPr>
                <w:rFonts w:ascii="Calibri" w:hAnsi="Calibri"/>
                <w:b w:val="0"/>
                <w:color w:val="2B2B2B"/>
                <w:sz w:val="20"/>
              </w:rPr>
              <w:t>1 — Gestión y Tecnologías</w:t>
            </w:r>
          </w:p>
        </w:tc>
        <w:tc>
          <w:tcPr>
            <w:tcW w:type="dxa" w:w="3264"/>
          </w:tcPr>
          <w:p>
            <w:r/>
            <w:r>
              <w:rPr>
                <w:rFonts w:ascii="Calibri" w:hAnsi="Calibri"/>
                <w:b w:val="0"/>
                <w:color w:val="2B2B2B"/>
                <w:sz w:val="20"/>
              </w:rPr>
              <w:t>Inteligencia Artificial y Tecnologías Emergentes</w:t>
            </w:r>
          </w:p>
        </w:tc>
        <w:tc>
          <w:tcPr>
            <w:tcW w:type="dxa" w:w="3264"/>
          </w:tcPr>
          <w:p>
            <w:r/>
          </w:p>
        </w:tc>
      </w:tr>
      <w:tr>
        <w:tc>
          <w:tcPr>
            <w:tcW w:type="dxa" w:w="3264"/>
            <w:shd w:val="clear" w:fill="F5F7F5"/>
            <w:shd w:val="clear" w:fill="F5F7F5"/>
          </w:tcPr>
          <w:p>
            <w:r/>
            <w:r>
              <w:rPr>
                <w:rFonts w:ascii="Calibri" w:hAnsi="Calibri"/>
                <w:b w:val="0"/>
                <w:color w:val="2B2B2B"/>
                <w:sz w:val="20"/>
              </w:rPr>
              <w:t>2 — Innovación Pedagógica</w:t>
            </w:r>
          </w:p>
        </w:tc>
        <w:tc>
          <w:tcPr>
            <w:tcW w:type="dxa" w:w="3264"/>
            <w:shd w:val="clear" w:fill="F5F7F5"/>
            <w:shd w:val="clear" w:fill="F5F7F5"/>
          </w:tcPr>
          <w:p>
            <w:r/>
            <w:r>
              <w:rPr>
                <w:rFonts w:ascii="Calibri" w:hAnsi="Calibri"/>
                <w:b w:val="0"/>
                <w:color w:val="2B2B2B"/>
                <w:sz w:val="20"/>
              </w:rPr>
              <w:t>Docente Avatar y Telepresencia</w:t>
            </w:r>
          </w:p>
        </w:tc>
        <w:tc>
          <w:tcPr>
            <w:tcW w:type="dxa" w:w="3264"/>
            <w:shd w:val="clear" w:fill="F5F7F5"/>
            <w:shd w:val="clear" w:fill="F5F7F5"/>
          </w:tcPr>
          <w:p>
            <w:r/>
          </w:p>
        </w:tc>
      </w:tr>
      <w:tr>
        <w:tc>
          <w:tcPr>
            <w:tcW w:type="dxa" w:w="3264"/>
          </w:tcPr>
          <w:p>
            <w:r/>
            <w:r>
              <w:rPr>
                <w:rFonts w:ascii="Calibri" w:hAnsi="Calibri"/>
                <w:b w:val="0"/>
                <w:color w:val="2B2B2B"/>
                <w:sz w:val="20"/>
              </w:rPr>
              <w:t>2 — Innovación Pedagógica</w:t>
            </w:r>
          </w:p>
        </w:tc>
        <w:tc>
          <w:tcPr>
            <w:tcW w:type="dxa" w:w="3264"/>
          </w:tcPr>
          <w:p>
            <w:r/>
            <w:r>
              <w:rPr>
                <w:rFonts w:ascii="Calibri" w:hAnsi="Calibri"/>
                <w:b w:val="0"/>
                <w:color w:val="2B2B2B"/>
                <w:sz w:val="20"/>
              </w:rPr>
              <w:t>Pedagogías de la Comunicación y el Diseño, Desarrollo de Industrias Creativas y Culturales</w:t>
            </w:r>
          </w:p>
        </w:tc>
        <w:tc>
          <w:tcPr>
            <w:tcW w:type="dxa" w:w="3264"/>
          </w:tcPr>
          <w:p>
            <w:r/>
          </w:p>
        </w:tc>
      </w:tr>
      <w:tr>
        <w:tc>
          <w:tcPr>
            <w:tcW w:type="dxa" w:w="3264"/>
            <w:shd w:val="clear" w:fill="F5F7F5"/>
            <w:shd w:val="clear" w:fill="F5F7F5"/>
          </w:tcPr>
          <w:p>
            <w:r/>
            <w:r>
              <w:rPr>
                <w:rFonts w:ascii="Calibri" w:hAnsi="Calibri"/>
                <w:b w:val="0"/>
                <w:color w:val="2B2B2B"/>
                <w:sz w:val="20"/>
              </w:rPr>
              <w:t>2 — Innovación Pedagógica</w:t>
            </w:r>
          </w:p>
        </w:tc>
        <w:tc>
          <w:tcPr>
            <w:tcW w:type="dxa" w:w="3264"/>
            <w:shd w:val="clear" w:fill="F5F7F5"/>
            <w:shd w:val="clear" w:fill="F5F7F5"/>
          </w:tcPr>
          <w:p>
            <w:r/>
            <w:r>
              <w:rPr>
                <w:rFonts w:ascii="Calibri" w:hAnsi="Calibri"/>
                <w:b w:val="0"/>
                <w:color w:val="2B2B2B"/>
                <w:sz w:val="20"/>
              </w:rPr>
              <w:t>Educación Entretenida</w:t>
            </w:r>
          </w:p>
        </w:tc>
        <w:tc>
          <w:tcPr>
            <w:tcW w:type="dxa" w:w="3264"/>
            <w:shd w:val="clear" w:fill="F5F7F5"/>
            <w:shd w:val="clear" w:fill="F5F7F5"/>
          </w:tcPr>
          <w:p>
            <w:r/>
          </w:p>
        </w:tc>
      </w:tr>
      <w:tr>
        <w:tc>
          <w:tcPr>
            <w:tcW w:type="dxa" w:w="3264"/>
          </w:tcPr>
          <w:p>
            <w:r/>
            <w:r>
              <w:rPr>
                <w:rFonts w:ascii="Calibri" w:hAnsi="Calibri"/>
                <w:b w:val="0"/>
                <w:color w:val="2B2B2B"/>
                <w:sz w:val="20"/>
              </w:rPr>
              <w:t>3 — Responsabilidad Social</w:t>
            </w:r>
          </w:p>
        </w:tc>
        <w:tc>
          <w:tcPr>
            <w:tcW w:type="dxa" w:w="3264"/>
          </w:tcPr>
          <w:p>
            <w:r/>
            <w:r>
              <w:rPr>
                <w:rFonts w:ascii="Calibri" w:hAnsi="Calibri"/>
                <w:b w:val="0"/>
                <w:color w:val="2B2B2B"/>
                <w:sz w:val="20"/>
              </w:rPr>
              <w:t>Energías alternativas, Transición Energética y sostenibilidad ambiental</w:t>
            </w:r>
          </w:p>
        </w:tc>
        <w:tc>
          <w:tcPr>
            <w:tcW w:type="dxa" w:w="3264"/>
          </w:tcPr>
          <w:p>
            <w:r/>
          </w:p>
        </w:tc>
      </w:tr>
      <w:tr>
        <w:tc>
          <w:tcPr>
            <w:tcW w:type="dxa" w:w="3264"/>
            <w:shd w:val="clear" w:fill="F5F7F5"/>
            <w:shd w:val="clear" w:fill="F5F7F5"/>
          </w:tcPr>
          <w:p>
            <w:r/>
            <w:r>
              <w:rPr>
                <w:rFonts w:ascii="Calibri" w:hAnsi="Calibri"/>
                <w:b w:val="0"/>
                <w:color w:val="2B2B2B"/>
                <w:sz w:val="20"/>
              </w:rPr>
              <w:t>3 — Responsabilidad Social</w:t>
            </w:r>
          </w:p>
        </w:tc>
        <w:tc>
          <w:tcPr>
            <w:tcW w:type="dxa" w:w="3264"/>
            <w:shd w:val="clear" w:fill="F5F7F5"/>
            <w:shd w:val="clear" w:fill="F5F7F5"/>
          </w:tcPr>
          <w:p>
            <w:r/>
            <w:r>
              <w:rPr>
                <w:rFonts w:ascii="Calibri" w:hAnsi="Calibri"/>
                <w:b w:val="0"/>
                <w:color w:val="2B2B2B"/>
                <w:sz w:val="20"/>
              </w:rPr>
              <w:t>Construcción de Paz y Responsabilidad Social</w:t>
            </w:r>
          </w:p>
        </w:tc>
        <w:tc>
          <w:tcPr>
            <w:tcW w:type="dxa" w:w="3264"/>
            <w:shd w:val="clear" w:fill="F5F7F5"/>
            <w:shd w:val="clear" w:fill="F5F7F5"/>
          </w:tcPr>
          <w:p>
            <w:r/>
          </w:p>
        </w:tc>
      </w:tr>
      <w:tr>
        <w:tc>
          <w:tcPr>
            <w:tcW w:type="dxa" w:w="3264"/>
          </w:tcPr>
          <w:p>
            <w:r/>
            <w:r>
              <w:rPr>
                <w:rFonts w:ascii="Calibri" w:hAnsi="Calibri"/>
                <w:b/>
                <w:color w:val="2B2B2B"/>
                <w:sz w:val="20"/>
              </w:rPr>
              <w:t>3 — Responsabilidad Social</w:t>
            </w:r>
          </w:p>
        </w:tc>
        <w:tc>
          <w:tcPr>
            <w:tcW w:type="dxa" w:w="3264"/>
          </w:tcPr>
          <w:p>
            <w:r/>
            <w:r>
              <w:rPr>
                <w:rFonts w:ascii="Calibri" w:hAnsi="Calibri"/>
                <w:b/>
                <w:color w:val="2B2B2B"/>
                <w:sz w:val="20"/>
              </w:rPr>
              <w:t>Industrias 5.0, Big Data, ciberseguridad y manejo de datos</w:t>
            </w:r>
          </w:p>
        </w:tc>
        <w:tc>
          <w:tcPr>
            <w:tcW w:type="dxa" w:w="3264"/>
          </w:tcPr>
          <w:p>
            <w:r/>
            <w:r>
              <w:rPr>
                <w:rFonts w:ascii="Calibri" w:hAnsi="Calibri"/>
                <w:b/>
                <w:color w:val="2B2B2B"/>
                <w:sz w:val="20"/>
              </w:rPr>
              <w:t>X</w:t>
            </w:r>
          </w:p>
        </w:tc>
      </w:tr>
      <w:tr>
        <w:tc>
          <w:tcPr>
            <w:tcW w:type="dxa" w:w="3264"/>
            <w:shd w:val="clear" w:fill="F5F7F5"/>
            <w:shd w:val="clear" w:fill="F5F7F5"/>
          </w:tcPr>
          <w:p>
            <w:r/>
            <w:r>
              <w:rPr>
                <w:rFonts w:ascii="Calibri" w:hAnsi="Calibri"/>
                <w:b/>
                <w:color w:val="2B2B2B"/>
                <w:sz w:val="20"/>
              </w:rPr>
              <w:t>Escenario de interacción con otra área o función sustantiva de la CUN</w:t>
            </w:r>
          </w:p>
        </w:tc>
        <w:tc>
          <w:tcPr>
            <w:tcW w:type="dxa" w:w="3264"/>
            <w:shd w:val="clear" w:fill="F5F7F5"/>
            <w:shd w:val="clear" w:fill="F5F7F5"/>
          </w:tcPr>
          <w:p>
            <w:r/>
            <w:r>
              <w:rPr>
                <w:rFonts w:ascii="Calibri" w:hAnsi="Calibri"/>
                <w:b w:val="0"/>
                <w:color w:val="2B2B2B"/>
                <w:sz w:val="20"/>
              </w:rPr>
              <w:t>Proyección Social y relacionamiento con el sector externo (unidad responsable de la relación con las pymes aliadas y coordinación de prácticas empresariales), como área que aporta el acceso a las organizaciones y recibe los productos para su réplica</w:t>
            </w:r>
          </w:p>
        </w:tc>
        <w:tc>
          <w:tcPr>
            <w:tcW w:type="dxa" w:w="3264"/>
            <w:shd w:val="clear" w:fill="F5F7F5"/>
            <w:shd w:val="clear" w:fill="F5F7F5"/>
          </w:tcPr>
          <w:p>
            <w:r/>
            <w:r>
              <w:rPr>
                <w:rFonts w:ascii="Calibri" w:hAnsi="Calibri"/>
                <w:b/>
                <w:color w:val="2B2B2B"/>
                <w:sz w:val="20"/>
              </w:rPr>
              <w:t>X</w:t>
            </w:r>
          </w:p>
        </w:tc>
      </w:tr>
    </w:tbl>
    <w:p/>
    <w:p>
      <w:r>
        <w:rPr>
          <w:rFonts w:ascii="Calibri" w:hAnsi="Calibri"/>
          <w:b/>
          <w:color w:val="2B2B2B"/>
          <w:sz w:val="22"/>
        </w:rPr>
        <w:t>Justificación de la elección.</w:t>
      </w:r>
      <w:r>
        <w:rPr>
          <w:rFonts w:ascii="Calibri" w:hAnsi="Calibri"/>
          <w:b w:val="0"/>
          <w:color w:val="2B2B2B"/>
          <w:sz w:val="22"/>
        </w:rPr>
        <w:t xml:space="preserve"> Se elige un solo eje y es el que nombra literalmente el objeto de</w:t>
      </w:r>
    </w:p>
    <w:p>
      <w:r>
        <w:rPr>
          <w:rFonts w:ascii="Calibri" w:hAnsi="Calibri"/>
          <w:b w:val="0"/>
          <w:color w:val="2B2B2B"/>
          <w:sz w:val="22"/>
        </w:rPr>
        <w:t xml:space="preserve">estudio: </w:t>
      </w:r>
      <w:r>
        <w:rPr>
          <w:rFonts w:ascii="Calibri" w:hAnsi="Calibri"/>
          <w:b/>
          <w:color w:val="2B2B2B"/>
          <w:sz w:val="22"/>
        </w:rPr>
        <w:t>ciberseguridad y manejo de datos</w:t>
      </w:r>
      <w:r>
        <w:rPr>
          <w:rFonts w:ascii="Calibri" w:hAnsi="Calibri"/>
          <w:b w:val="0"/>
          <w:color w:val="2B2B2B"/>
          <w:sz w:val="22"/>
        </w:rPr>
        <w:t>. La correspondencia no es de palabra clave sino de</w:t>
      </w:r>
    </w:p>
    <w:p>
      <w:r>
        <w:rPr>
          <w:rFonts w:ascii="Calibri" w:hAnsi="Calibri"/>
          <w:b w:val="0"/>
          <w:color w:val="2B2B2B"/>
          <w:sz w:val="22"/>
        </w:rPr>
        <w:t>contenido. El eje se formula dentro de la Línea de Responsabilidad Social y no dentro de la línea</w:t>
      </w:r>
    </w:p>
    <w:p>
      <w:r>
        <w:rPr>
          <w:rFonts w:ascii="Calibri" w:hAnsi="Calibri"/>
          <w:b w:val="0"/>
          <w:color w:val="2B2B2B"/>
          <w:sz w:val="22"/>
        </w:rPr>
        <w:t>tecnológica, y esa ubicación es precisamente la que le da sentido a esta propuesta: lo que se investiga</w:t>
      </w:r>
    </w:p>
    <w:p>
      <w:r>
        <w:rPr>
          <w:rFonts w:ascii="Calibri" w:hAnsi="Calibri"/>
          <w:b w:val="0"/>
          <w:color w:val="2B2B2B"/>
          <w:sz w:val="22"/>
        </w:rPr>
        <w:t>no es una técnica de seguridad en abstracto, sino la brecha entre una obligación legal que la ley impone</w:t>
      </w:r>
    </w:p>
    <w:p>
      <w:r>
        <w:rPr>
          <w:rFonts w:ascii="Calibri" w:hAnsi="Calibri"/>
          <w:b w:val="0"/>
          <w:color w:val="2B2B2B"/>
          <w:sz w:val="22"/>
        </w:rPr>
        <w:t>por igual a toda organización que trate datos personales y la capacidad real de cumplirla en</w:t>
      </w:r>
    </w:p>
    <w:p>
      <w:r>
        <w:rPr>
          <w:rFonts w:ascii="Calibri" w:hAnsi="Calibri"/>
          <w:b w:val="0"/>
          <w:color w:val="2B2B2B"/>
          <w:sz w:val="22"/>
        </w:rPr>
        <w:t>organizaciones que no tienen área de sistemas, ni oficial de protección de datos, ni dinero para una</w:t>
      </w:r>
    </w:p>
    <w:p>
      <w:r>
        <w:rPr>
          <w:rFonts w:ascii="Calibri" w:hAnsi="Calibri"/>
          <w:b w:val="0"/>
          <w:color w:val="2B2B2B"/>
          <w:sz w:val="22"/>
        </w:rPr>
        <w:t>auditoría comercial. Esa brecha es un problema de responsabilidad social con forma técnica, y la CUN</w:t>
      </w:r>
    </w:p>
    <w:p>
      <w:r>
        <w:rPr>
          <w:rFonts w:ascii="Calibri" w:hAnsi="Calibri"/>
          <w:b w:val="0"/>
          <w:color w:val="2B2B2B"/>
          <w:sz w:val="22"/>
        </w:rPr>
        <w:t>está en posición de trabajarlo porque ya sostiene relaciones con ese tejido productivo.</w:t>
      </w:r>
    </w:p>
    <w:p>
      <w:r>
        <w:rPr>
          <w:rFonts w:ascii="Calibri" w:hAnsi="Calibri"/>
          <w:b w:val="0"/>
          <w:color w:val="2B2B2B"/>
          <w:sz w:val="22"/>
        </w:rPr>
        <w:t xml:space="preserve">No se elige </w:t>
      </w:r>
      <w:r>
        <w:rPr>
          <w:rFonts w:ascii="Calibri" w:hAnsi="Calibri"/>
          <w:b/>
          <w:color w:val="2B2B2B"/>
          <w:sz w:val="22"/>
        </w:rPr>
        <w:t>"Inteligencia Artificial y Tecnologías Emergentes"</w:t>
      </w:r>
      <w:r>
        <w:rPr>
          <w:rFonts w:ascii="Calibri" w:hAnsi="Calibri"/>
          <w:b w:val="0"/>
          <w:color w:val="2B2B2B"/>
          <w:sz w:val="22"/>
        </w:rPr>
        <w:t xml:space="preserve"> aunque el tercer objetivo específico</w:t>
      </w:r>
    </w:p>
    <w:p>
      <w:r>
        <w:rPr>
          <w:rFonts w:ascii="Calibri" w:hAnsi="Calibri"/>
          <w:b w:val="0"/>
          <w:color w:val="2B2B2B"/>
          <w:sz w:val="22"/>
        </w:rPr>
        <w:t>use aprendizaje automático, y la razón es de honestidad de enfoque: el componente de IA es un</w:t>
      </w:r>
    </w:p>
    <w:p>
      <w:r>
        <w:rPr>
          <w:rFonts w:ascii="Calibri" w:hAnsi="Calibri"/>
          <w:b w:val="0"/>
          <w:color w:val="2B2B2B"/>
          <w:sz w:val="22"/>
        </w:rPr>
        <w:t>instrumento del diagnóstico —un detector de patrones atípicos que un cuestionario no ve— y no el objeto</w:t>
      </w:r>
    </w:p>
    <w:p>
      <w:r>
        <w:rPr>
          <w:rFonts w:ascii="Calibri" w:hAnsi="Calibri"/>
          <w:b w:val="0"/>
          <w:color w:val="2B2B2B"/>
          <w:sz w:val="22"/>
        </w:rPr>
        <w:t>de la investigación; no se propone un aporte algorítmico ni se comparan modelos entre sí. Tampoco se</w:t>
      </w:r>
    </w:p>
    <w:p>
      <w:r>
        <w:rPr>
          <w:rFonts w:ascii="Calibri" w:hAnsi="Calibri"/>
          <w:b w:val="0"/>
          <w:color w:val="2B2B2B"/>
          <w:sz w:val="22"/>
        </w:rPr>
        <w:t xml:space="preserve">elige </w:t>
      </w:r>
      <w:r>
        <w:rPr>
          <w:rFonts w:ascii="Calibri" w:hAnsi="Calibri"/>
          <w:b/>
          <w:color w:val="2B2B2B"/>
          <w:sz w:val="22"/>
        </w:rPr>
        <w:t>"Tecnologías de la Información y la Comunicación e Internet de las Cosas"</w:t>
      </w:r>
      <w:r>
        <w:rPr>
          <w:rFonts w:ascii="Calibri" w:hAnsi="Calibri"/>
          <w:b w:val="0"/>
          <w:color w:val="2B2B2B"/>
          <w:sz w:val="22"/>
        </w:rPr>
        <w:t>, porque no hay</w:t>
      </w:r>
    </w:p>
    <w:p>
      <w:r>
        <w:rPr>
          <w:rFonts w:ascii="Calibri" w:hAnsi="Calibri"/>
          <w:b w:val="0"/>
          <w:color w:val="2B2B2B"/>
          <w:sz w:val="22"/>
        </w:rPr>
        <w:t>captura de datos por dispositivos: el dato ya existe en los registros de acceso de las organizaciones y</w:t>
      </w:r>
    </w:p>
    <w:p>
      <w:r>
        <w:rPr>
          <w:rFonts w:ascii="Calibri" w:hAnsi="Calibri"/>
          <w:b w:val="0"/>
          <w:color w:val="2B2B2B"/>
          <w:sz w:val="22"/>
        </w:rPr>
        <w:t>lo que se estudia es su protección, no su generación. Y no se elige **"Construcción de Paz y</w:t>
      </w:r>
    </w:p>
    <w:p>
      <w:r>
        <w:rPr>
          <w:rFonts w:ascii="Calibri" w:hAnsi="Calibri"/>
          <w:b w:val="0"/>
          <w:color w:val="2B2B2B"/>
          <w:sz w:val="22"/>
        </w:rPr>
        <w:t>Responsabilidad Social"**, pese a compartir la línea, porque ese eje apunta a intervención social y</w:t>
      </w:r>
    </w:p>
    <w:p>
      <w:r>
        <w:rPr>
          <w:rFonts w:ascii="Calibri" w:hAnsi="Calibri"/>
          <w:b w:val="0"/>
          <w:color w:val="2B2B2B"/>
          <w:sz w:val="22"/>
        </w:rPr>
        <w:t>territorial, mientras aquí el objeto es el tratamiento de datos.</w:t>
      </w:r>
    </w:p>
    <w:p>
      <w:r>
        <w:rPr>
          <w:rFonts w:ascii="Calibri" w:hAnsi="Calibri"/>
          <w:b/>
          <w:color w:val="2B2B2B"/>
          <w:sz w:val="22"/>
        </w:rPr>
        <w:t>Vinculación del eje transversal de herramientas de IA.</w:t>
      </w:r>
      <w:r>
        <w:rPr>
          <w:rFonts w:ascii="Calibri" w:hAnsi="Calibri"/>
          <w:b w:val="0"/>
          <w:color w:val="2B2B2B"/>
          <w:sz w:val="22"/>
        </w:rPr>
        <w:t xml:space="preserve"> Los Términos de Referencia piden considerar</w:t>
      </w:r>
    </w:p>
    <w:p>
      <w:r>
        <w:rPr>
          <w:rFonts w:ascii="Calibri" w:hAnsi="Calibri"/>
          <w:b w:val="0"/>
          <w:color w:val="2B2B2B"/>
          <w:sz w:val="22"/>
        </w:rPr>
        <w:t>la vinculación de herramientas de IA "en la construcción y la proyección de resultados" como eje</w:t>
      </w:r>
    </w:p>
    <w:p>
      <w:r>
        <w:rPr>
          <w:rFonts w:ascii="Calibri" w:hAnsi="Calibri"/>
          <w:b w:val="0"/>
          <w:color w:val="2B2B2B"/>
          <w:sz w:val="22"/>
        </w:rPr>
        <w:t>transversal, y en esta propuesta se materializa en tres planos distinguibles, ninguno decorativo.</w:t>
      </w:r>
    </w:p>
    <w:p>
      <w:r>
        <w:rPr>
          <w:rFonts w:ascii="Calibri" w:hAnsi="Calibri"/>
          <w:b/>
          <w:color w:val="2B2B2B"/>
          <w:sz w:val="22"/>
        </w:rPr>
        <w:t>Primero, en la construcción del conocimiento:</w:t>
      </w:r>
      <w:r>
        <w:rPr>
          <w:rFonts w:ascii="Calibri" w:hAnsi="Calibri"/>
          <w:b w:val="0"/>
          <w:color w:val="2B2B2B"/>
          <w:sz w:val="22"/>
        </w:rPr>
        <w:t xml:space="preserve"> el prototipo del tercer objetivo específico aplica un</w:t>
      </w:r>
    </w:p>
    <w:p>
      <w:r>
        <w:rPr>
          <w:rFonts w:ascii="Calibri" w:hAnsi="Calibri"/>
          <w:b w:val="0"/>
          <w:color w:val="2B2B2B"/>
          <w:sz w:val="22"/>
        </w:rPr>
        <w:t>modelo no supervisado de detección de anomalías (Isolation Forest, implementado con scikit-learn) sobre</w:t>
      </w:r>
    </w:p>
    <w:p>
      <w:r>
        <w:rPr>
          <w:rFonts w:ascii="Calibri" w:hAnsi="Calibri"/>
          <w:b w:val="0"/>
          <w:color w:val="2B2B2B"/>
          <w:sz w:val="22"/>
        </w:rPr>
        <w:t>registros de acceso, para producir un hallazgo que el instrumento de autoevaluación no puede producir —a</w:t>
      </w:r>
    </w:p>
    <w:p>
      <w:r>
        <w:rPr>
          <w:rFonts w:ascii="Calibri" w:hAnsi="Calibri"/>
          <w:b w:val="0"/>
          <w:color w:val="2B2B2B"/>
          <w:sz w:val="22"/>
        </w:rPr>
        <w:t>saber, si en los registros de una organización hay patrones de acceso atípicos que la organización no</w:t>
      </w:r>
    </w:p>
    <w:p>
      <w:r>
        <w:rPr>
          <w:rFonts w:ascii="Calibri" w:hAnsi="Calibri"/>
          <w:b w:val="0"/>
          <w:color w:val="2B2B2B"/>
          <w:sz w:val="22"/>
        </w:rPr>
        <w:t xml:space="preserve">había advertido—. </w:t>
      </w:r>
      <w:r>
        <w:rPr>
          <w:rFonts w:ascii="Calibri" w:hAnsi="Calibri"/>
          <w:b/>
          <w:color w:val="2B2B2B"/>
          <w:sz w:val="22"/>
        </w:rPr>
        <w:t>Segundo, en el trabajo del investigador:</w:t>
      </w:r>
      <w:r>
        <w:rPr>
          <w:rFonts w:ascii="Calibri" w:hAnsi="Calibri"/>
          <w:b w:val="0"/>
          <w:color w:val="2B2B2B"/>
          <w:sz w:val="22"/>
        </w:rPr>
        <w:t xml:space="preserve"> se emplea un asistente de IA generativa</w:t>
      </w:r>
    </w:p>
    <w:p>
      <w:r>
        <w:rPr>
          <w:rFonts w:ascii="Calibri" w:hAnsi="Calibri"/>
          <w:b w:val="0"/>
          <w:color w:val="2B2B2B"/>
          <w:sz w:val="22"/>
        </w:rPr>
        <w:t>(Claude, de Anthropic) para la síntesis comparada del andamiaje normativo y de los controles del</w:t>
      </w:r>
    </w:p>
    <w:p>
      <w:r>
        <w:rPr>
          <w:rFonts w:ascii="Calibri" w:hAnsi="Calibri"/>
          <w:b w:val="0"/>
          <w:color w:val="2B2B2B"/>
          <w:sz w:val="22"/>
        </w:rPr>
        <w:t>estándar, y como apoyo en la codificación de las respuestas abiertas de las entrevistas, con</w:t>
      </w:r>
    </w:p>
    <w:p>
      <w:r>
        <w:rPr>
          <w:rFonts w:ascii="Calibri" w:hAnsi="Calibri"/>
          <w:b w:val="0"/>
          <w:color w:val="2B2B2B"/>
          <w:sz w:val="22"/>
        </w:rPr>
        <w:t>codificación humana de contraste y reporte de acuerdo entre ambas. **Tercero, en la proyección de</w:t>
      </w:r>
    </w:p>
    <w:p>
      <w:r>
        <w:rPr>
          <w:rFonts w:ascii="Calibri" w:hAnsi="Calibri"/>
          <w:b w:val="0"/>
          <w:color w:val="2B2B2B"/>
          <w:sz w:val="22"/>
        </w:rPr>
        <w:t>resultados:** el modelo de buenas prácticas incorpora un apartado sobre el uso de herramientas de IA por</w:t>
      </w:r>
    </w:p>
    <w:p>
      <w:r>
        <w:rPr>
          <w:rFonts w:ascii="Calibri" w:hAnsi="Calibri"/>
          <w:b w:val="0"/>
          <w:color w:val="2B2B2B"/>
          <w:sz w:val="22"/>
        </w:rPr>
        <w:t>parte de las propias pymes —qué datos personales no deben pegarse en un asistente comercial, cómo</w:t>
      </w:r>
    </w:p>
    <w:p>
      <w:r>
        <w:rPr>
          <w:rFonts w:ascii="Calibri" w:hAnsi="Calibri"/>
          <w:b w:val="0"/>
          <w:color w:val="2B2B2B"/>
          <w:sz w:val="22"/>
        </w:rPr>
        <w:t>declarar su uso ante los titulares— porque es un riesgo que ya está ocurriendo en esas organizaciones y</w:t>
      </w:r>
    </w:p>
    <w:p>
      <w:r>
        <w:rPr>
          <w:rFonts w:ascii="Calibri" w:hAnsi="Calibri"/>
          <w:b w:val="0"/>
          <w:color w:val="2B2B2B"/>
          <w:sz w:val="22"/>
        </w:rPr>
        <w:t>ningún checklist de seguridad tradicional lo cubre. Todos los usos quedan declarados y sujetos a</w:t>
      </w:r>
    </w:p>
    <w:p>
      <w:r>
        <w:rPr>
          <w:rFonts w:ascii="Calibri" w:hAnsi="Calibri"/>
          <w:b w:val="0"/>
          <w:color w:val="2B2B2B"/>
          <w:sz w:val="22"/>
        </w:rPr>
        <w:t>revisión humana antes de incorporarse a cualquier entregable.</w:t>
      </w:r>
    </w:p>
    <w:p>
      <w:pPr>
        <w:spacing w:before="200" w:after="60"/>
      </w:pPr>
      <w:r>
        <w:rPr>
          <w:rFonts w:ascii="Calibri" w:hAnsi="Calibri"/>
          <w:b/>
          <w:color w:val="007433"/>
          <w:sz w:val="32"/>
        </w:rPr>
        <w:t>Impacto, viabilidad y retorno de la propuesta de investigación</w:t>
      </w:r>
    </w:p>
    <w:p>
      <w:pPr>
        <w:spacing w:before="200" w:after="60"/>
      </w:pPr>
      <w:r>
        <w:rPr>
          <w:rFonts w:ascii="Calibri" w:hAnsi="Calibri"/>
          <w:b/>
          <w:color w:val="007433"/>
          <w:sz w:val="32"/>
        </w:rPr>
        <w:t>Impacto de la investigación</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Dimensión</w:t>
            </w:r>
          </w:p>
        </w:tc>
        <w:tc>
          <w:tcPr>
            <w:tcW w:type="dxa" w:w="4896"/>
            <w:shd w:val="clear" w:fill="0C2340"/>
            <w:shd w:val="clear" w:fill="0C2340"/>
          </w:tcPr>
          <w:p>
            <w:r>
              <w:rPr>
                <w:rFonts w:ascii="Calibri" w:hAnsi="Calibri"/>
                <w:b/>
                <w:color w:val="FFFFFF"/>
              </w:rPr>
            </w:r>
            <w:r>
              <w:rPr>
                <w:rFonts w:ascii="Calibri" w:hAnsi="Calibri"/>
                <w:b/>
                <w:color w:val="FFFFFF"/>
                <w:sz w:val="21"/>
              </w:rPr>
              <w:t>Contenido</w:t>
            </w:r>
          </w:p>
        </w:tc>
      </w:tr>
      <w:tr>
        <w:tc>
          <w:tcPr>
            <w:tcW w:type="dxa" w:w="4896"/>
          </w:tcPr>
          <w:p>
            <w:r/>
            <w:r>
              <w:rPr>
                <w:rFonts w:ascii="Calibri" w:hAnsi="Calibri"/>
                <w:b/>
                <w:color w:val="2B2B2B"/>
                <w:sz w:val="20"/>
              </w:rPr>
              <w:t>Fortalecimiento institucional</w:t>
            </w:r>
          </w:p>
        </w:tc>
        <w:tc>
          <w:tcPr>
            <w:tcW w:type="dxa" w:w="4896"/>
          </w:tcPr>
          <w:p>
            <w:r/>
            <w:r>
              <w:rPr>
                <w:rFonts w:ascii="Calibri" w:hAnsi="Calibri"/>
                <w:b w:val="0"/>
                <w:color w:val="2B2B2B"/>
                <w:sz w:val="20"/>
              </w:rPr>
              <w:t xml:space="preserve">La CUN obtiene tres activos que hoy no tiene. </w:t>
            </w:r>
            <w:r>
              <w:rPr>
                <w:rFonts w:ascii="Calibri" w:hAnsi="Calibri"/>
                <w:b/>
                <w:color w:val="2B2B2B"/>
                <w:sz w:val="20"/>
              </w:rPr>
              <w:t>Primero, evidencia propia sobre el tejido productivo con el que se relaciona:</w:t>
            </w:r>
            <w:r>
              <w:rPr>
                <w:rFonts w:ascii="Calibri" w:hAnsi="Calibri"/>
                <w:b w:val="0"/>
                <w:color w:val="2B2B2B"/>
                <w:sz w:val="20"/>
              </w:rPr>
              <w:t xml:space="preserve"> un diagnóstico documentado de madurez en protección de datos de sus pymes aliadas, que convierte una relación hasta ahora administrativa (convenios, prácticas) en una relación con base empírica. </w:t>
            </w:r>
            <w:r>
              <w:rPr>
                <w:rFonts w:ascii="Calibri" w:hAnsi="Calibri"/>
                <w:b/>
                <w:color w:val="2B2B2B"/>
                <w:sz w:val="20"/>
              </w:rPr>
              <w:t>Segundo, un instrumento reutilizable:</w:t>
            </w:r>
            <w:r>
              <w:rPr>
                <w:rFonts w:ascii="Calibri" w:hAnsi="Calibri"/>
                <w:b w:val="0"/>
                <w:color w:val="2B2B2B"/>
                <w:sz w:val="20"/>
              </w:rPr>
              <w:t xml:space="preserve"> el cuestionario de diagnóstico con sus anclas y su guía de aplicación queda como activo institucional, aplicable por estudiantes de práctica y por trabajos de grado sin volver a construirlo, y aplicable también a los propios procesos de la CUN, que es a su vez responsable del tratamiento de datos personales de miles de estudiantes. </w:t>
            </w:r>
            <w:r>
              <w:rPr>
                <w:rFonts w:ascii="Calibri" w:hAnsi="Calibri"/>
                <w:b/>
                <w:color w:val="2B2B2B"/>
                <w:sz w:val="20"/>
              </w:rPr>
              <w:t>Tercero, un antecedente verificable de articulación con el sector externo</w:t>
            </w:r>
            <w:r>
              <w:rPr>
                <w:rFonts w:ascii="Calibri" w:hAnsi="Calibri"/>
                <w:b w:val="0"/>
                <w:color w:val="2B2B2B"/>
                <w:sz w:val="20"/>
              </w:rPr>
              <w:t>, con cartas de aval firmadas y productos entregados, que es exactamente lo que la institución necesita acreditar en convocatorias posteriores, incluidas las de Minciencias.</w:t>
            </w:r>
          </w:p>
        </w:tc>
      </w:tr>
      <w:tr>
        <w:tc>
          <w:tcPr>
            <w:tcW w:type="dxa" w:w="4896"/>
            <w:shd w:val="clear" w:fill="F5F7F5"/>
            <w:shd w:val="clear" w:fill="F5F7F5"/>
          </w:tcPr>
          <w:p>
            <w:r/>
            <w:r>
              <w:rPr>
                <w:rFonts w:ascii="Calibri" w:hAnsi="Calibri"/>
                <w:b/>
                <w:color w:val="2B2B2B"/>
                <w:sz w:val="20"/>
              </w:rPr>
              <w:t>Pertinencia académica y alineación institucional</w:t>
            </w:r>
          </w:p>
        </w:tc>
        <w:tc>
          <w:tcPr>
            <w:tcW w:type="dxa" w:w="4896"/>
            <w:shd w:val="clear" w:fill="F5F7F5"/>
            <w:shd w:val="clear" w:fill="F5F7F5"/>
          </w:tcPr>
          <w:p>
            <w:r/>
            <w:r>
              <w:rPr>
                <w:rFonts w:ascii="Calibri" w:hAnsi="Calibri"/>
                <w:b w:val="0"/>
                <w:color w:val="2B2B2B"/>
                <w:sz w:val="20"/>
              </w:rPr>
              <w:t>Se inscribe en el eje "Industrias 5.0, Big Data, ciberseguridad y manejo de datos" del Grupo Temático 3, y en el propósito declarado en el numeral 3 de los Términos de Referencia de acompañar los grupos temáticos "desde la perspectiva de Proyección Social planteando acciones concretas […] con la participación y/o vinculación activa de organizaciones de la sociedad civil o del sector empresarial". La pertinencia académica es doble: los contenidos de seguridad de la información y protección de datos son parte de la formación de Ingeniería de Sistemas, y el material producido —instrumento, informe de diagnóstico anonimizado, cartilla, prototipo— es inmediatamente reutilizable como caso de estudio real en asignaturas de seguridad, de formación investigativa y de la Especialización en Inteligencia Artificial.</w:t>
            </w:r>
          </w:p>
        </w:tc>
      </w:tr>
      <w:tr>
        <w:tc>
          <w:tcPr>
            <w:tcW w:type="dxa" w:w="4896"/>
          </w:tcPr>
          <w:p>
            <w:r/>
            <w:r>
              <w:rPr>
                <w:rFonts w:ascii="Calibri" w:hAnsi="Calibri"/>
                <w:b/>
                <w:color w:val="2B2B2B"/>
                <w:sz w:val="20"/>
              </w:rPr>
              <w:t>Plan de evaluación de impacto</w:t>
            </w:r>
          </w:p>
        </w:tc>
        <w:tc>
          <w:tcPr>
            <w:tcW w:type="dxa" w:w="4896"/>
          </w:tcPr>
          <w:p>
            <w:r/>
            <w:r>
              <w:rPr>
                <w:rFonts w:ascii="Calibri" w:hAnsi="Calibri"/>
                <w:b w:val="0"/>
                <w:color w:val="2B2B2B"/>
                <w:sz w:val="20"/>
              </w:rPr>
              <w:t xml:space="preserve">El impacto se evalúa con cinco indicadores medibles </w:t>
            </w:r>
            <w:r>
              <w:rPr>
                <w:rFonts w:ascii="Calibri" w:hAnsi="Calibri"/>
                <w:b/>
                <w:color w:val="2B2B2B"/>
                <w:sz w:val="20"/>
              </w:rPr>
              <w:t>dentro de las 12 semanas</w:t>
            </w:r>
            <w:r>
              <w:rPr>
                <w:rFonts w:ascii="Calibri" w:hAnsi="Calibri"/>
                <w:b w:val="0"/>
                <w:color w:val="2B2B2B"/>
                <w:sz w:val="20"/>
              </w:rPr>
              <w:t xml:space="preserve">, y ninguno de ellos presupone el resultado. (1) </w:t>
            </w:r>
            <w:r>
              <w:rPr>
                <w:rFonts w:ascii="Calibri" w:hAnsi="Calibri"/>
                <w:b/>
                <w:color w:val="2B2B2B"/>
                <w:sz w:val="20"/>
              </w:rPr>
              <w:t>Cobertura del diagnóstico:</w:t>
            </w:r>
            <w:r>
              <w:rPr>
                <w:rFonts w:ascii="Calibri" w:hAnsi="Calibri"/>
                <w:b w:val="0"/>
                <w:color w:val="2B2B2B"/>
                <w:sz w:val="20"/>
              </w:rPr>
              <w:t xml:space="preserve"> número de organizaciones diagnosticadas con el instrumento completo sobre el número de cartas de aval firmadas (meta: 3 de 3 como mínimo, hasta 5 de 5). (2) </w:t>
            </w:r>
            <w:r>
              <w:rPr>
                <w:rFonts w:ascii="Calibri" w:hAnsi="Calibri"/>
                <w:b/>
                <w:color w:val="2B2B2B"/>
                <w:sz w:val="20"/>
              </w:rPr>
              <w:t>Fiabilidad del instrumento:</w:t>
            </w:r>
            <w:r>
              <w:rPr>
                <w:rFonts w:ascii="Calibri" w:hAnsi="Calibri"/>
                <w:b w:val="0"/>
                <w:color w:val="2B2B2B"/>
                <w:sz w:val="20"/>
              </w:rPr>
              <w:t xml:space="preserve"> acuerdo entre el investigador y el segundo diagnosticador en las organizaciones calificadas por ambos, reportado con un estadístico de acuerdo y con el umbral fijado por adelantado (α ≥ 0,70); por debajo de ese umbral el diagnóstico se reporta como exploratorio y así se declara. (3) </w:t>
            </w:r>
            <w:r>
              <w:rPr>
                <w:rFonts w:ascii="Calibri" w:hAnsi="Calibri"/>
                <w:b/>
                <w:color w:val="2B2B2B"/>
                <w:sz w:val="20"/>
              </w:rPr>
              <w:t>Validación del modelo por sus destinatarios:</w:t>
            </w:r>
            <w:r>
              <w:rPr>
                <w:rFonts w:ascii="Calibri" w:hAnsi="Calibri"/>
                <w:b w:val="0"/>
                <w:color w:val="2B2B2B"/>
                <w:sz w:val="20"/>
              </w:rPr>
              <w:t xml:space="preserve"> proporción de recomendaciones del modelo de buenas prácticas calificadas como aplicables con recursos propios por el representante de cada organización, en una escala con anclas (meta declarada como hipótesis de trabajo, no como hecho: ≥ 70 %). (4) </w:t>
            </w:r>
            <w:r>
              <w:rPr>
                <w:rFonts w:ascii="Calibri" w:hAnsi="Calibri"/>
                <w:b/>
                <w:color w:val="2B2B2B"/>
                <w:sz w:val="20"/>
              </w:rPr>
              <w:t>Adopción declarada a corto plazo:</w:t>
            </w:r>
            <w:r>
              <w:rPr>
                <w:rFonts w:ascii="Calibri" w:hAnsi="Calibri"/>
                <w:b w:val="0"/>
                <w:color w:val="2B2B2B"/>
                <w:sz w:val="20"/>
              </w:rPr>
              <w:t xml:space="preserve"> número de organizaciones que, en la sesión de cierre, se comprometen por escrito a implementar al menos tres controles de la lista de verificación, y —dentro del plazo del proyecto— número que muestra evidencia de haber implementado al menos uno. La verificación de adopción sostenida a tres meses </w:t>
            </w:r>
            <w:r>
              <w:rPr>
                <w:rFonts w:ascii="Calibri" w:hAnsi="Calibri"/>
                <w:b/>
                <w:color w:val="2B2B2B"/>
                <w:sz w:val="20"/>
              </w:rPr>
              <w:t>queda fuera del proyecto</w:t>
            </w:r>
            <w:r>
              <w:rPr>
                <w:rFonts w:ascii="Calibri" w:hAnsi="Calibri"/>
                <w:b w:val="0"/>
                <w:color w:val="2B2B2B"/>
                <w:sz w:val="20"/>
              </w:rPr>
              <w:t xml:space="preserve"> y se declara como seguimiento posterior, no como resultado comprometido. (5) </w:t>
            </w:r>
            <w:r>
              <w:rPr>
                <w:rFonts w:ascii="Calibri" w:hAnsi="Calibri"/>
                <w:b/>
                <w:color w:val="2B2B2B"/>
                <w:sz w:val="20"/>
              </w:rPr>
              <w:t>Desempeño del prototipo:</w:t>
            </w:r>
            <w:r>
              <w:rPr>
                <w:rFonts w:ascii="Calibri" w:hAnsi="Calibri"/>
                <w:b w:val="0"/>
                <w:color w:val="2B2B2B"/>
                <w:sz w:val="20"/>
              </w:rPr>
              <w:t xml:space="preserve"> capacidad de recuperar anomalías inyectadas de referencia conocida en los registros sintéticos, reportada con recuperación y precisión y con la tasa de falsos positivos, porque un detector que satura de alertas a una pyme sin personal dedicado es inservible por más que detecte.</w:t>
            </w:r>
          </w:p>
        </w:tc>
      </w:tr>
    </w:tbl>
    <w:p/>
    <w:p>
      <w:pPr>
        <w:spacing w:before="200" w:after="60"/>
      </w:pPr>
      <w:r>
        <w:rPr>
          <w:rFonts w:ascii="Calibri" w:hAnsi="Calibri"/>
          <w:b/>
          <w:color w:val="007433"/>
          <w:sz w:val="32"/>
        </w:rPr>
        <w:t>Viabilidad y retorno de investigación</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Dimensión</w:t>
            </w:r>
          </w:p>
        </w:tc>
        <w:tc>
          <w:tcPr>
            <w:tcW w:type="dxa" w:w="4896"/>
            <w:shd w:val="clear" w:fill="0C2340"/>
            <w:shd w:val="clear" w:fill="0C2340"/>
          </w:tcPr>
          <w:p>
            <w:r>
              <w:rPr>
                <w:rFonts w:ascii="Calibri" w:hAnsi="Calibri"/>
                <w:b/>
                <w:color w:val="FFFFFF"/>
              </w:rPr>
            </w:r>
            <w:r>
              <w:rPr>
                <w:rFonts w:ascii="Calibri" w:hAnsi="Calibri"/>
                <w:b/>
                <w:color w:val="FFFFFF"/>
                <w:sz w:val="21"/>
              </w:rPr>
              <w:t>Contenido</w:t>
            </w:r>
          </w:p>
        </w:tc>
      </w:tr>
      <w:tr>
        <w:tc>
          <w:tcPr>
            <w:tcW w:type="dxa" w:w="4896"/>
          </w:tcPr>
          <w:p>
            <w:r/>
            <w:r>
              <w:rPr>
                <w:rFonts w:ascii="Calibri" w:hAnsi="Calibri"/>
                <w:b/>
                <w:color w:val="2B2B2B"/>
                <w:sz w:val="20"/>
              </w:rPr>
              <w:t>Contribución a procesos de optimización interna (tiempos y recursos)</w:t>
            </w:r>
          </w:p>
        </w:tc>
        <w:tc>
          <w:tcPr>
            <w:tcW w:type="dxa" w:w="4896"/>
          </w:tcPr>
          <w:p>
            <w:r/>
            <w:r>
              <w:rPr>
                <w:rFonts w:ascii="Calibri" w:hAnsi="Calibri"/>
                <w:b w:val="0"/>
                <w:color w:val="2B2B2B"/>
                <w:sz w:val="20"/>
              </w:rPr>
              <w:t xml:space="preserve">El aporte a la operación interna de la CUN es concreto y no depende de que el diagnóstico arroje un resultado determinado. Hoy, cada vez que un programa quiere trabajar protección de datos con una organización aliada —en una práctica, en un trabajo de grado, en una consultoría estudiantil— empieza de cero: hay que construir un cuestionario, decidir qué controles aplican a una organización pequeña y redactar recomendaciones. Este proyecto deja ese trabajo hecho y documentado, con anclas de calificación y guía de aplicación, de modo que la preparación de un diagnóstico posterior se reduce a la logística de la visita. El mismo instrumento es aplicable hacia adentro: la CUN trata datos personales de estudiantes, aspirantes y docentes en múltiples sistemas, y disponer de una lista de verificación ya operacionalizada abarata cualquier revisión interna que la institución decida hacer. Se declara con precisión el límite: </w:t>
            </w:r>
            <w:r>
              <w:rPr>
                <w:rFonts w:ascii="Calibri" w:hAnsi="Calibri"/>
                <w:b/>
                <w:color w:val="2B2B2B"/>
                <w:sz w:val="20"/>
              </w:rPr>
              <w:t>el proyecto no audita a la CUN</w:t>
            </w:r>
            <w:r>
              <w:rPr>
                <w:rFonts w:ascii="Calibri" w:hAnsi="Calibri"/>
                <w:b w:val="0"/>
                <w:color w:val="2B2B2B"/>
                <w:sz w:val="20"/>
              </w:rPr>
              <w:t xml:space="preserve"> ni compromete ese uso; entrega el instrumento que lo haría posible.</w:t>
            </w:r>
          </w:p>
        </w:tc>
      </w:tr>
      <w:tr>
        <w:tc>
          <w:tcPr>
            <w:tcW w:type="dxa" w:w="4896"/>
            <w:shd w:val="clear" w:fill="F5F7F5"/>
            <w:shd w:val="clear" w:fill="F5F7F5"/>
          </w:tcPr>
          <w:p>
            <w:r/>
            <w:r>
              <w:rPr>
                <w:rFonts w:ascii="Calibri" w:hAnsi="Calibri"/>
                <w:b/>
                <w:color w:val="2B2B2B"/>
                <w:sz w:val="20"/>
              </w:rPr>
              <w:t>Potencial de transferencia tecnológica</w:t>
            </w:r>
          </w:p>
        </w:tc>
        <w:tc>
          <w:tcPr>
            <w:tcW w:type="dxa" w:w="4896"/>
            <w:shd w:val="clear" w:fill="F5F7F5"/>
            <w:shd w:val="clear" w:fill="F5F7F5"/>
          </w:tcPr>
          <w:p>
            <w:r/>
            <w:r>
              <w:rPr>
                <w:rFonts w:ascii="Calibri" w:hAnsi="Calibri"/>
                <w:b w:val="0"/>
                <w:color w:val="2B2B2B"/>
                <w:sz w:val="20"/>
              </w:rPr>
              <w:t xml:space="preserve">Alto y de costo marginal bajo, porque lo transferible es documentación y código abierto: el instrumento de diagnóstico, el modelo de buenas prácticas, la cartilla y el prototipo en Python sobre librerías libres (scikit-learn, pandas), sin licencias comerciales ni hardware. La transferencia se prueba </w:t>
            </w:r>
            <w:r>
              <w:rPr>
                <w:rFonts w:ascii="Calibri" w:hAnsi="Calibri"/>
                <w:b/>
                <w:color w:val="2B2B2B"/>
                <w:sz w:val="20"/>
              </w:rPr>
              <w:t>dentro</w:t>
            </w:r>
            <w:r>
              <w:rPr>
                <w:rFonts w:ascii="Calibri" w:hAnsi="Calibri"/>
                <w:b w:val="0"/>
                <w:color w:val="2B2B2B"/>
                <w:sz w:val="20"/>
              </w:rPr>
              <w:t xml:space="preserve"> del proyecto y no se deja como promesa: el modelo se valida con las organizaciones destinatarias y el prototipo se entrega con un cuaderno reproducible, datos sintéticos de ejemplo y las instrucciones para ejecutarlo sobre registros propios. El límite también es explícito: transferir un prototipo no es entregar un producto soportado, y así se le comunica a cada organización por escrito para no generar una expectativa de mantenimiento que el proyecto no puede honrar.</w:t>
            </w:r>
          </w:p>
        </w:tc>
      </w:tr>
      <w:tr>
        <w:tc>
          <w:tcPr>
            <w:tcW w:type="dxa" w:w="4896"/>
          </w:tcPr>
          <w:p>
            <w:r/>
            <w:r>
              <w:rPr>
                <w:rFonts w:ascii="Calibri" w:hAnsi="Calibri"/>
                <w:b/>
                <w:color w:val="2B2B2B"/>
                <w:sz w:val="20"/>
              </w:rPr>
              <w:t>Alineación con tendencias de mercado e IA</w:t>
            </w:r>
          </w:p>
        </w:tc>
        <w:tc>
          <w:tcPr>
            <w:tcW w:type="dxa" w:w="4896"/>
          </w:tcPr>
          <w:p>
            <w:r/>
            <w:r>
              <w:rPr>
                <w:rFonts w:ascii="Calibri" w:hAnsi="Calibri"/>
                <w:b w:val="0"/>
                <w:color w:val="2B2B2B"/>
                <w:sz w:val="20"/>
              </w:rPr>
              <w:t xml:space="preserve">La detección de anomalías sobre registros de acceso es hoy el fundamento de una categoría entera de productos comerciales de seguridad, y su costo de licenciamiento está fuera del alcance de una pyme; mostrar qué parte de esa capacidad se obtiene con librerías abiertas y datos que la organización ya produce es una contribución alineada con el estado del mercado y con la restricción real del destinatario. En el marco normativo, la exigencia de responsabilidad demostrable en el tratamiento de datos personales presiona a organizaciones de cualquier tamaño hacia evidencias de control verificables, y el modelo de buenas prácticas se estructura para producir esa evidencia. Se declara lo que </w:t>
            </w:r>
            <w:r>
              <w:rPr>
                <w:rFonts w:ascii="Calibri" w:hAnsi="Calibri"/>
                <w:b/>
                <w:color w:val="2B2B2B"/>
                <w:sz w:val="20"/>
              </w:rPr>
              <w:t>no</w:t>
            </w:r>
            <w:r>
              <w:rPr>
                <w:rFonts w:ascii="Calibri" w:hAnsi="Calibri"/>
                <w:b w:val="0"/>
                <w:color w:val="2B2B2B"/>
                <w:sz w:val="20"/>
              </w:rPr>
              <w:t xml:space="preserve"> se afirma: no se sostiene que este prototipo compita con una solución comercial, ni que sustituya un sistema de gestión de seguridad de la información certificado.</w:t>
            </w:r>
          </w:p>
        </w:tc>
      </w:tr>
    </w:tbl>
    <w:p/>
    <w:p>
      <w:r>
        <w:rPr>
          <w:rFonts w:ascii="Calibri" w:hAnsi="Calibri"/>
          <w:b/>
          <w:color w:val="2B2B2B"/>
          <w:sz w:val="22"/>
        </w:rPr>
        <w:t>Viabilidad técnica.</w:t>
      </w:r>
      <w:r>
        <w:rPr>
          <w:rFonts w:ascii="Calibri" w:hAnsi="Calibri"/>
          <w:b w:val="0"/>
          <w:color w:val="2B2B2B"/>
          <w:sz w:val="22"/>
        </w:rPr>
        <w:t xml:space="preserve"> El componente de mayor incertidumbre técnica —la detección de anomalías— está</w:t>
      </w:r>
    </w:p>
    <w:p>
      <w:r>
        <w:rPr>
          <w:rFonts w:ascii="Calibri" w:hAnsi="Calibri"/>
          <w:b w:val="0"/>
          <w:color w:val="2B2B2B"/>
          <w:sz w:val="22"/>
        </w:rPr>
        <w:t>acotado deliberadamente a un algoritmo maduro, documentado y disponible en una librería estándar, y se</w:t>
      </w:r>
    </w:p>
    <w:p>
      <w:r>
        <w:rPr>
          <w:rFonts w:ascii="Calibri" w:hAnsi="Calibri"/>
          <w:b w:val="0"/>
          <w:color w:val="2B2B2B"/>
          <w:sz w:val="22"/>
        </w:rPr>
        <w:t>evalúa sobre registros con anomalías inyectadas de referencia conocida, de modo que existe un criterio</w:t>
      </w:r>
    </w:p>
    <w:p>
      <w:r>
        <w:rPr>
          <w:rFonts w:ascii="Calibri" w:hAnsi="Calibri"/>
          <w:b w:val="0"/>
          <w:color w:val="2B2B2B"/>
          <w:sz w:val="22"/>
        </w:rPr>
        <w:t>objetivo de éxito y no depende de que alguna organización "tenga" un incidente durante el estudio. El</w:t>
      </w:r>
    </w:p>
    <w:p>
      <w:r>
        <w:rPr>
          <w:rFonts w:ascii="Calibri" w:hAnsi="Calibri"/>
          <w:b w:val="0"/>
          <w:color w:val="2B2B2B"/>
          <w:sz w:val="22"/>
        </w:rPr>
        <w:t>investigador principal es ingeniero de sistemas y docente de la Especialización en Inteligencia</w:t>
      </w:r>
    </w:p>
    <w:p>
      <w:r>
        <w:rPr>
          <w:rFonts w:ascii="Calibri" w:hAnsi="Calibri"/>
          <w:b w:val="0"/>
          <w:color w:val="2B2B2B"/>
          <w:sz w:val="22"/>
        </w:rPr>
        <w:t>Artificial, con lo que el desarrollo y la evaluación del prototipo están dentro de su competencia</w:t>
      </w:r>
    </w:p>
    <w:p>
      <w:r>
        <w:rPr>
          <w:rFonts w:ascii="Calibri" w:hAnsi="Calibri"/>
          <w:b w:val="0"/>
          <w:color w:val="2B2B2B"/>
          <w:sz w:val="22"/>
        </w:rPr>
        <w:t>directa. El instrumento de diagnóstico no requiere tecnología: es un cuestionario estructurado con</w:t>
      </w:r>
    </w:p>
    <w:p>
      <w:r>
        <w:rPr>
          <w:rFonts w:ascii="Calibri" w:hAnsi="Calibri"/>
          <w:b w:val="0"/>
          <w:color w:val="2B2B2B"/>
          <w:sz w:val="22"/>
        </w:rPr>
        <w:t>verificación documental en sitio.</w:t>
      </w:r>
    </w:p>
    <w:p>
      <w:r>
        <w:rPr>
          <w:rFonts w:ascii="Calibri" w:hAnsi="Calibri"/>
          <w:b/>
          <w:color w:val="2B2B2B"/>
          <w:sz w:val="22"/>
        </w:rPr>
        <w:t>Viabilidad económica.</w:t>
      </w:r>
      <w:r>
        <w:rPr>
          <w:rFonts w:ascii="Calibri" w:hAnsi="Calibri"/>
          <w:b w:val="0"/>
          <w:color w:val="2B2B2B"/>
          <w:sz w:val="22"/>
        </w:rPr>
        <w:t xml:space="preserve"> El presupuesto solicitado es de </w:t>
      </w:r>
      <w:r>
        <w:rPr>
          <w:rFonts w:ascii="Calibri" w:hAnsi="Calibri"/>
          <w:b/>
          <w:color w:val="2B2B2B"/>
          <w:sz w:val="22"/>
        </w:rPr>
        <w:t>$4.980.000</w:t>
      </w:r>
      <w:r>
        <w:rPr>
          <w:rFonts w:ascii="Calibri" w:hAnsi="Calibri"/>
          <w:b w:val="0"/>
          <w:color w:val="2B2B2B"/>
          <w:sz w:val="22"/>
        </w:rPr>
        <w:t>, por debajo del techo de</w:t>
      </w:r>
    </w:p>
    <w:p>
      <w:r>
        <w:rPr>
          <w:rFonts w:ascii="Calibri" w:hAnsi="Calibri"/>
          <w:b w:val="0"/>
          <w:color w:val="2B2B2B"/>
          <w:sz w:val="22"/>
        </w:rPr>
        <w:t>$5.000.000 del numeral 8, y su composición responde a lo que este diseño consume de verdad: trabajo de</w:t>
      </w:r>
    </w:p>
    <w:p>
      <w:r>
        <w:rPr>
          <w:rFonts w:ascii="Calibri" w:hAnsi="Calibri"/>
          <w:b w:val="0"/>
          <w:color w:val="2B2B2B"/>
          <w:sz w:val="22"/>
        </w:rPr>
        <w:t>campo (desplazamientos a las organizaciones), un auxiliar de investigación, y la producción e impresión</w:t>
      </w:r>
    </w:p>
    <w:p>
      <w:r>
        <w:rPr>
          <w:rFonts w:ascii="Calibri" w:hAnsi="Calibri"/>
          <w:b w:val="0"/>
          <w:color w:val="2B2B2B"/>
          <w:sz w:val="22"/>
        </w:rPr>
        <w:t>de la cartilla de apropiación social, que es el producto que llega a los destinatarios y el único con</w:t>
      </w:r>
    </w:p>
    <w:p>
      <w:r>
        <w:rPr>
          <w:rFonts w:ascii="Calibri" w:hAnsi="Calibri"/>
          <w:b w:val="0"/>
          <w:color w:val="2B2B2B"/>
          <w:sz w:val="22"/>
        </w:rPr>
        <w:t>costo por ejemplar; a ello se suman partidas menores de servicios digitales (asistente de IA</w:t>
      </w:r>
    </w:p>
    <w:p>
      <w:r>
        <w:rPr>
          <w:rFonts w:ascii="Calibri" w:hAnsi="Calibri"/>
          <w:b w:val="0"/>
          <w:color w:val="2B2B2B"/>
          <w:sz w:val="22"/>
        </w:rPr>
        <w:t>generativa, transcripción y respaldo cifrado de los datos), materiales, logística de las sesiones y</w:t>
      </w:r>
    </w:p>
    <w:p>
      <w:r>
        <w:rPr>
          <w:rFonts w:ascii="Calibri" w:hAnsi="Calibri"/>
          <w:b w:val="0"/>
          <w:color w:val="2B2B2B"/>
          <w:sz w:val="22"/>
        </w:rPr>
        <w:t>divulgación de resultados, todas desglosadas en el apartado de presupuesto. No se solicita hardware, no se solicitan licencias de seguridad</w:t>
      </w:r>
    </w:p>
    <w:p>
      <w:r>
        <w:rPr>
          <w:rFonts w:ascii="Calibri" w:hAnsi="Calibri"/>
          <w:b w:val="0"/>
          <w:color w:val="2B2B2B"/>
          <w:sz w:val="22"/>
        </w:rPr>
        <w:t>comerciales y no se solicita desarrollo de software: el prototipo se construye con librerías de código</w:t>
      </w:r>
    </w:p>
    <w:p>
      <w:r>
        <w:rPr>
          <w:rFonts w:ascii="Calibri" w:hAnsi="Calibri"/>
          <w:b w:val="0"/>
          <w:color w:val="2B2B2B"/>
          <w:sz w:val="22"/>
        </w:rPr>
        <w:t>abierto. El rubro de talento humano tiene la salvedad declarada en el pendiente 8, con su porcentaje de</w:t>
      </w:r>
    </w:p>
    <w:p>
      <w:r>
        <w:rPr>
          <w:rFonts w:ascii="Calibri" w:hAnsi="Calibri"/>
          <w:b w:val="0"/>
          <w:color w:val="2B2B2B"/>
          <w:sz w:val="22"/>
        </w:rPr>
        <w:t>riesgo y su plan de reemplazo.</w:t>
      </w:r>
    </w:p>
    <w:p>
      <w:r>
        <w:rPr>
          <w:rFonts w:ascii="Calibri" w:hAnsi="Calibri"/>
          <w:b/>
          <w:color w:val="2B2B2B"/>
          <w:sz w:val="22"/>
        </w:rPr>
        <w:t>Viabilidad operativa y el riesgo que no se oculta.</w:t>
      </w:r>
      <w:r>
        <w:rPr>
          <w:rFonts w:ascii="Calibri" w:hAnsi="Calibri"/>
          <w:b w:val="0"/>
          <w:color w:val="2B2B2B"/>
          <w:sz w:val="22"/>
        </w:rPr>
        <w:t xml:space="preserve"> El riesgo dominante de esta propuesta **no es</w:t>
      </w:r>
    </w:p>
    <w:p>
      <w:r>
        <w:rPr>
          <w:rFonts w:ascii="Calibri" w:hAnsi="Calibri"/>
          <w:b w:val="0"/>
          <w:color w:val="2B2B2B"/>
          <w:sz w:val="22"/>
        </w:rPr>
        <w:t>técnico ni económico: es de acceso**. Todo el diseño depende de que entre tres y cinco organizaciones</w:t>
      </w:r>
    </w:p>
    <w:p>
      <w:r>
        <w:rPr>
          <w:rFonts w:ascii="Calibri" w:hAnsi="Calibri"/>
          <w:b w:val="0"/>
          <w:color w:val="2B2B2B"/>
          <w:sz w:val="22"/>
        </w:rPr>
        <w:t>acepten ser diagnosticadas, firmen el Anexo 3 y dediquen tiempo de su personal, y ninguna de esas tres</w:t>
      </w:r>
    </w:p>
    <w:p>
      <w:r>
        <w:rPr>
          <w:rFonts w:ascii="Calibri" w:hAnsi="Calibri"/>
          <w:b w:val="0"/>
          <w:color w:val="2B2B2B"/>
          <w:sz w:val="22"/>
        </w:rPr>
        <w:t>condiciones está bajo control del investigador. Se enfrenta de tres maneras. **Primera, umbral mínimo</w:t>
      </w:r>
    </w:p>
    <w:p>
      <w:r>
        <w:rPr>
          <w:rFonts w:ascii="Calibri" w:hAnsi="Calibri"/>
          <w:b w:val="0"/>
          <w:color w:val="2B2B2B"/>
          <w:sz w:val="22"/>
        </w:rPr>
        <w:t>declarado:** con menos de tres organizaciones el estudio no se ejecuta como está escrito y debe</w:t>
      </w:r>
    </w:p>
    <w:p>
      <w:r>
        <w:rPr>
          <w:rFonts w:ascii="Calibri" w:hAnsi="Calibri"/>
          <w:b w:val="0"/>
          <w:color w:val="2B2B2B"/>
          <w:sz w:val="22"/>
        </w:rPr>
        <w:t xml:space="preserve">reformularse ante la DNI; no se "completa" con casos hipotéticos. </w:t>
      </w:r>
      <w:r>
        <w:rPr>
          <w:rFonts w:ascii="Calibri" w:hAnsi="Calibri"/>
          <w:b/>
          <w:color w:val="2B2B2B"/>
          <w:sz w:val="22"/>
        </w:rPr>
        <w:t>Segunda, incentivo alineado:</w:t>
      </w:r>
      <w:r>
        <w:rPr>
          <w:rFonts w:ascii="Calibri" w:hAnsi="Calibri"/>
          <w:b w:val="0"/>
          <w:color w:val="2B2B2B"/>
          <w:sz w:val="22"/>
        </w:rPr>
        <w:t xml:space="preserve"> la</w:t>
      </w:r>
    </w:p>
    <w:p>
      <w:r>
        <w:rPr>
          <w:rFonts w:ascii="Calibri" w:hAnsi="Calibri"/>
          <w:b w:val="0"/>
          <w:color w:val="2B2B2B"/>
          <w:sz w:val="22"/>
        </w:rPr>
        <w:t>organización recibe un diagnóstico y un protocolo aplicable sin costo, que en el mercado tendría un</w:t>
      </w:r>
    </w:p>
    <w:p>
      <w:r>
        <w:rPr>
          <w:rFonts w:ascii="Calibri" w:hAnsi="Calibri"/>
          <w:b w:val="0"/>
          <w:color w:val="2B2B2B"/>
          <w:sz w:val="22"/>
        </w:rPr>
        <w:t>precio inaccesible para ella, lo que hace razonable esperar cooperación sin necesidad de pagarla.</w:t>
      </w:r>
    </w:p>
    <w:p>
      <w:r>
        <w:rPr>
          <w:rFonts w:ascii="Calibri" w:hAnsi="Calibri"/>
          <w:b/>
          <w:color w:val="2B2B2B"/>
          <w:sz w:val="22"/>
        </w:rPr>
        <w:t>Tercera, reducción de la fricción que más asusta:</w:t>
      </w:r>
      <w:r>
        <w:rPr>
          <w:rFonts w:ascii="Calibri" w:hAnsi="Calibri"/>
          <w:b w:val="0"/>
          <w:color w:val="2B2B2B"/>
          <w:sz w:val="22"/>
        </w:rPr>
        <w:t xml:space="preserve"> ninguna organización debe entregar datos</w:t>
      </w:r>
    </w:p>
    <w:p>
      <w:r>
        <w:rPr>
          <w:rFonts w:ascii="Calibri" w:hAnsi="Calibri"/>
          <w:b w:val="0"/>
          <w:color w:val="2B2B2B"/>
          <w:sz w:val="22"/>
        </w:rPr>
        <w:t>personales reales; los registros salen anonimizados por ella misma o se sustituyen por registros</w:t>
      </w:r>
    </w:p>
    <w:p>
      <w:r>
        <w:rPr>
          <w:rFonts w:ascii="Calibri" w:hAnsi="Calibri"/>
          <w:b w:val="0"/>
          <w:color w:val="2B2B2B"/>
          <w:sz w:val="22"/>
        </w:rPr>
        <w:t>sintéticos generados a partir de la estructura de los suyos. Que el proyecto no pida los datos que una</w:t>
      </w:r>
    </w:p>
    <w:p>
      <w:r>
        <w:rPr>
          <w:rFonts w:ascii="Calibri" w:hAnsi="Calibri"/>
          <w:b w:val="0"/>
          <w:color w:val="2B2B2B"/>
          <w:sz w:val="22"/>
        </w:rPr>
        <w:t>pyme teme entregar es, a la vez, una salvaguarda ética y la principal razón por la que el acceso es</w:t>
      </w:r>
    </w:p>
    <w:p>
      <w:r>
        <w:rPr>
          <w:rFonts w:ascii="Calibri" w:hAnsi="Calibri"/>
          <w:b w:val="0"/>
          <w:color w:val="2B2B2B"/>
          <w:sz w:val="22"/>
        </w:rPr>
        <w:t>plausible.</w:t>
      </w:r>
    </w:p>
    <w:p>
      <w:pPr>
        <w:spacing w:before="200" w:after="60"/>
      </w:pPr>
      <w:r>
        <w:rPr>
          <w:rFonts w:ascii="Calibri" w:hAnsi="Calibri"/>
          <w:b/>
          <w:color w:val="007433"/>
          <w:sz w:val="32"/>
        </w:rPr>
        <w:t>Aplicación de herramientas IA</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Herramienta IA</w:t>
            </w:r>
          </w:p>
        </w:tc>
        <w:tc>
          <w:tcPr>
            <w:tcW w:type="dxa" w:w="4896"/>
            <w:shd w:val="clear" w:fill="0C2340"/>
            <w:shd w:val="clear" w:fill="0C2340"/>
          </w:tcPr>
          <w:p>
            <w:r>
              <w:rPr>
                <w:rFonts w:ascii="Calibri" w:hAnsi="Calibri"/>
                <w:b/>
                <w:color w:val="FFFFFF"/>
              </w:rPr>
            </w:r>
            <w:r>
              <w:rPr>
                <w:rFonts w:ascii="Calibri" w:hAnsi="Calibri"/>
                <w:b/>
                <w:color w:val="FFFFFF"/>
                <w:sz w:val="21"/>
              </w:rPr>
              <w:t>Cómo se proyecta utilizarla y qué impactos puede generar</w:t>
            </w:r>
          </w:p>
        </w:tc>
      </w:tr>
      <w:tr>
        <w:tc>
          <w:tcPr>
            <w:tcW w:type="dxa" w:w="4896"/>
          </w:tcPr>
          <w:p>
            <w:r/>
            <w:r>
              <w:rPr>
                <w:rFonts w:ascii="Calibri" w:hAnsi="Calibri"/>
                <w:b/>
                <w:color w:val="2B2B2B"/>
                <w:sz w:val="20"/>
              </w:rPr>
              <w:t>Isolation Forest</w:t>
            </w:r>
            <w:r>
              <w:rPr>
                <w:rFonts w:ascii="Calibri" w:hAnsi="Calibri"/>
                <w:b w:val="0"/>
                <w:color w:val="2B2B2B"/>
                <w:sz w:val="20"/>
              </w:rPr>
              <w:t xml:space="preserve">, implementado en Python con </w:t>
            </w:r>
            <w:r>
              <w:rPr>
                <w:rFonts w:ascii="Calibri" w:hAnsi="Calibri"/>
                <w:b/>
                <w:color w:val="2B2B2B"/>
                <w:sz w:val="20"/>
              </w:rPr>
              <w:t>scikit-learn</w:t>
            </w:r>
            <w:r>
              <w:rPr>
                <w:rFonts w:ascii="Calibri" w:hAnsi="Calibri"/>
                <w:b w:val="0"/>
                <w:color w:val="2B2B2B"/>
                <w:sz w:val="20"/>
              </w:rPr>
              <w:t xml:space="preserve"> (con </w:t>
            </w:r>
            <w:r>
              <w:rPr>
                <w:rFonts w:ascii="Consolas" w:hAnsi="Consolas"/>
                <w:color w:val="111111"/>
                <w:sz w:val="19"/>
              </w:rPr>
              <w:t>pandas</w:t>
            </w:r>
            <w:r>
              <w:rPr>
                <w:rFonts w:ascii="Calibri" w:hAnsi="Calibri"/>
                <w:b w:val="0"/>
                <w:color w:val="2B2B2B"/>
                <w:sz w:val="20"/>
              </w:rPr>
              <w:t xml:space="preserve"> para el tratamiento de los registros)</w:t>
            </w:r>
          </w:p>
        </w:tc>
        <w:tc>
          <w:tcPr>
            <w:tcW w:type="dxa" w:w="4896"/>
          </w:tcPr>
          <w:p>
            <w:r/>
            <w:r>
              <w:rPr>
                <w:rFonts w:ascii="Calibri" w:hAnsi="Calibri"/>
                <w:b w:val="0"/>
                <w:color w:val="2B2B2B"/>
                <w:sz w:val="20"/>
              </w:rPr>
              <w:t xml:space="preserve">Es el componente de IA del tercer objetivo específico: un modelo </w:t>
            </w:r>
            <w:r>
              <w:rPr>
                <w:rFonts w:ascii="Calibri" w:hAnsi="Calibri"/>
                <w:b/>
                <w:color w:val="2B2B2B"/>
                <w:sz w:val="20"/>
              </w:rPr>
              <w:t>no supervisado</w:t>
            </w:r>
            <w:r>
              <w:rPr>
                <w:rFonts w:ascii="Calibri" w:hAnsi="Calibri"/>
                <w:b w:val="0"/>
                <w:color w:val="2B2B2B"/>
                <w:sz w:val="20"/>
              </w:rPr>
              <w:t xml:space="preserve"> que aísla observaciones atípicas sin necesidad de ejemplos etiquetados de ataque —condición indispensable aquí, porque ninguna pyme del estudio tiene un histórico de incidentes etiquetado—. Se aplica a registros de acceso y de tratamiento de datos (usuario, marca de tiempo, recurso, resultado de la autenticación, volumen), sintéticos o anonimizados. Impacto esperado, formulado como </w:t>
            </w:r>
            <w:r>
              <w:rPr>
                <w:rFonts w:ascii="Calibri" w:hAnsi="Calibri"/>
                <w:b/>
                <w:color w:val="2B2B2B"/>
                <w:sz w:val="20"/>
              </w:rPr>
              <w:t>hipótesis de trabajo y no como hecho</w:t>
            </w:r>
            <w:r>
              <w:rPr>
                <w:rFonts w:ascii="Calibri" w:hAnsi="Calibri"/>
                <w:b w:val="0"/>
                <w:color w:val="2B2B2B"/>
                <w:sz w:val="20"/>
              </w:rPr>
              <w:t>: que el detector recupere una proporción sustantiva de las anomalías inyectadas de referencia conocida con una tasa de falsos positivos manejable por una organización sin personal dedicado a seguridad. Si no lo logra, el resultado se reporta igual y es informativo: acota lo que este tipo de técnica puede aportar a esta escala de organización.</w:t>
            </w:r>
          </w:p>
        </w:tc>
      </w:tr>
      <w:tr>
        <w:tc>
          <w:tcPr>
            <w:tcW w:type="dxa" w:w="4896"/>
            <w:shd w:val="clear" w:fill="F5F7F5"/>
            <w:shd w:val="clear" w:fill="F5F7F5"/>
          </w:tcPr>
          <w:p>
            <w:r/>
            <w:r>
              <w:rPr>
                <w:rFonts w:ascii="Calibri" w:hAnsi="Calibri"/>
                <w:b/>
                <w:color w:val="2B2B2B"/>
                <w:sz w:val="20"/>
              </w:rPr>
              <w:t>Detector de referencia estadístico</w:t>
            </w:r>
            <w:r>
              <w:rPr>
                <w:rFonts w:ascii="Calibri" w:hAnsi="Calibri"/>
                <w:b w:val="0"/>
                <w:color w:val="2B2B2B"/>
                <w:sz w:val="20"/>
              </w:rPr>
              <w:t xml:space="preserve"> (umbrales sobre desviación estándar y reglas de negocio, sin aprendizaje automático)</w:t>
            </w:r>
          </w:p>
        </w:tc>
        <w:tc>
          <w:tcPr>
            <w:tcW w:type="dxa" w:w="4896"/>
            <w:shd w:val="clear" w:fill="F5F7F5"/>
            <w:shd w:val="clear" w:fill="F5F7F5"/>
          </w:tcPr>
          <w:p>
            <w:r/>
            <w:r>
              <w:rPr>
                <w:rFonts w:ascii="Calibri" w:hAnsi="Calibri"/>
                <w:b w:val="0"/>
                <w:color w:val="2B2B2B"/>
                <w:sz w:val="20"/>
              </w:rPr>
              <w:t xml:space="preserve">No es una herramienta de IA sino su </w:t>
            </w:r>
            <w:r>
              <w:rPr>
                <w:rFonts w:ascii="Calibri" w:hAnsi="Calibri"/>
                <w:b/>
                <w:color w:val="2B2B2B"/>
                <w:sz w:val="20"/>
              </w:rPr>
              <w:t>control</w:t>
            </w:r>
            <w:r>
              <w:rPr>
                <w:rFonts w:ascii="Calibri" w:hAnsi="Calibri"/>
                <w:b w:val="0"/>
                <w:color w:val="2B2B2B"/>
                <w:sz w:val="20"/>
              </w:rPr>
              <w:t>: se implementa deliberadamente para comparar contra el modelo no supervisado. Sin esa comparación no habría forma de saber si el aprendizaje automático aporta algo por encima de tres reglas simples, y afirmar el aporte sin medirlo sería exactamente el tipo de conclusión que este proyecto no debe producir. Impacto metodológico: permite que la conclusión sobre la utilidad de la IA sea falsable.</w:t>
            </w:r>
          </w:p>
        </w:tc>
      </w:tr>
      <w:tr>
        <w:tc>
          <w:tcPr>
            <w:tcW w:type="dxa" w:w="4896"/>
          </w:tcPr>
          <w:p>
            <w:r/>
            <w:r>
              <w:rPr>
                <w:rFonts w:ascii="Calibri" w:hAnsi="Calibri"/>
                <w:b/>
                <w:color w:val="2B2B2B"/>
                <w:sz w:val="20"/>
              </w:rPr>
              <w:t>Claude (Anthropic)</w:t>
            </w:r>
            <w:r>
              <w:rPr>
                <w:rFonts w:ascii="Calibri" w:hAnsi="Calibri"/>
                <w:b w:val="0"/>
                <w:color w:val="2B2B2B"/>
                <w:sz w:val="20"/>
              </w:rPr>
              <w:t>, asistente de IA generativa</w:t>
            </w:r>
          </w:p>
        </w:tc>
        <w:tc>
          <w:tcPr>
            <w:tcW w:type="dxa" w:w="4896"/>
          </w:tcPr>
          <w:p>
            <w:r/>
            <w:r>
              <w:rPr>
                <w:rFonts w:ascii="Calibri" w:hAnsi="Calibri"/>
                <w:b w:val="0"/>
                <w:color w:val="2B2B2B"/>
                <w:sz w:val="20"/>
              </w:rPr>
              <w:t xml:space="preserve">Dos usos acotados. (a) </w:t>
            </w:r>
            <w:r>
              <w:rPr>
                <w:rFonts w:ascii="Calibri" w:hAnsi="Calibri"/>
                <w:b/>
                <w:color w:val="2B2B2B"/>
                <w:sz w:val="20"/>
              </w:rPr>
              <w:t>Síntesis normativa comparada:</w:t>
            </w:r>
            <w:r>
              <w:rPr>
                <w:rFonts w:ascii="Calibri" w:hAnsi="Calibri"/>
                <w:b w:val="0"/>
                <w:color w:val="2B2B2B"/>
                <w:sz w:val="20"/>
              </w:rPr>
              <w:t xml:space="preserve"> organizar y contrastar las obligaciones de la Ley 1581 de 2012 y el Decreto 1377 de 2013 con los controles del estándar internacional de referencia, para construir la matriz de correspondencia de la que se derivan los ítems del instrumento; toda afirmación normativa se verifica contra el texto oficial de la norma antes de incorporarse, y esa verificación la hace el investigador, no el modelo. (b) </w:t>
            </w:r>
            <w:r>
              <w:rPr>
                <w:rFonts w:ascii="Calibri" w:hAnsi="Calibri"/>
                <w:b/>
                <w:color w:val="2B2B2B"/>
                <w:sz w:val="20"/>
              </w:rPr>
              <w:t>Codificación asistida de las respuestas abiertas</w:t>
            </w:r>
            <w:r>
              <w:rPr>
                <w:rFonts w:ascii="Calibri" w:hAnsi="Calibri"/>
                <w:b w:val="0"/>
                <w:color w:val="2B2B2B"/>
                <w:sz w:val="20"/>
              </w:rPr>
              <w:t xml:space="preserve"> de las entrevistas con los representantes de las organizaciones, con codificación humana de contraste y reporte del acuerdo entre ambas; ninguna categoría se acepta por sugerencia del modelo. Impacto: reduce el tiempo de sistematización sin ceder el criterio interpretativo ni la responsabilidad normativa.</w:t>
            </w:r>
          </w:p>
        </w:tc>
      </w:tr>
      <w:tr>
        <w:tc>
          <w:tcPr>
            <w:tcW w:type="dxa" w:w="4896"/>
            <w:shd w:val="clear" w:fill="F5F7F5"/>
            <w:shd w:val="clear" w:fill="F5F7F5"/>
          </w:tcPr>
          <w:p>
            <w:r/>
            <w:r>
              <w:rPr>
                <w:rFonts w:ascii="Calibri" w:hAnsi="Calibri"/>
                <w:b/>
                <w:color w:val="2B2B2B"/>
                <w:sz w:val="20"/>
              </w:rPr>
              <w:t>Uso de IA por parte de las propias pymes</w:t>
            </w:r>
            <w:r>
              <w:rPr>
                <w:rFonts w:ascii="Calibri" w:hAnsi="Calibri"/>
                <w:b w:val="0"/>
                <w:color w:val="2B2B2B"/>
                <w:sz w:val="20"/>
              </w:rPr>
              <w:t xml:space="preserve"> (objeto del modelo, no herramienta del proyecto)</w:t>
            </w:r>
          </w:p>
        </w:tc>
        <w:tc>
          <w:tcPr>
            <w:tcW w:type="dxa" w:w="4896"/>
            <w:shd w:val="clear" w:fill="F5F7F5"/>
            <w:shd w:val="clear" w:fill="F5F7F5"/>
          </w:tcPr>
          <w:p>
            <w:r/>
            <w:r>
              <w:rPr>
                <w:rFonts w:ascii="Calibri" w:hAnsi="Calibri"/>
                <w:b w:val="0"/>
                <w:color w:val="2B2B2B"/>
                <w:sz w:val="20"/>
              </w:rPr>
              <w:t>Se incorpora como apartado del modelo de buenas prácticas porque es un riesgo emergente y real: personal de organizaciones pequeñas pega información de clientes en asistentes conversacionales comerciales para redactar correos, resumir contratos o depurar bases. El modelo entrega criterios concretos —qué categorías de dato no deben salir de la organización, cómo desactivar el uso de los datos para entrenamiento cuando el proveedor lo permite, cómo declarar el uso ante los titulares—. Impacto: cubre una brecha que ninguna lista de verificación de seguridad tradicional contempla.</w:t>
            </w:r>
          </w:p>
        </w:tc>
      </w:tr>
    </w:tbl>
    <w:p/>
    <w:p>
      <w:pPr>
        <w:spacing w:before="200" w:after="60"/>
      </w:pPr>
      <w:r>
        <w:rPr>
          <w:rFonts w:ascii="Calibri" w:hAnsi="Calibri"/>
          <w:b/>
          <w:color w:val="007433"/>
          <w:sz w:val="32"/>
        </w:rPr>
        <w:t>Antecedentes generales de la propuesta</w:t>
      </w:r>
    </w:p>
    <w:p>
      <w:r>
        <w:rPr>
          <w:rFonts w:ascii="Calibri" w:hAnsi="Calibri"/>
          <w:b w:val="0"/>
          <w:color w:val="2B2B2B"/>
          <w:sz w:val="22"/>
        </w:rPr>
        <w:t xml:space="preserve">*Nota sobre la citación:* las referencias se numeran en </w:t>
      </w:r>
      <w:r>
        <w:rPr>
          <w:rFonts w:ascii="Calibri" w:hAnsi="Calibri"/>
          <w:b/>
          <w:color w:val="2B2B2B"/>
          <w:sz w:val="22"/>
        </w:rPr>
        <w:t>IEEE</w:t>
      </w:r>
      <w:r>
        <w:rPr>
          <w:rFonts w:ascii="Calibri" w:hAnsi="Calibri"/>
          <w:b w:val="0"/>
          <w:color w:val="2B2B2B"/>
          <w:sz w:val="22"/>
        </w:rPr>
        <w:t xml:space="preserve"> por corresponder a la Escuela de</w:t>
      </w:r>
    </w:p>
    <w:p>
      <w:r>
        <w:rPr>
          <w:rFonts w:ascii="Calibri" w:hAnsi="Calibri"/>
          <w:b w:val="0"/>
          <w:color w:val="2B2B2B"/>
          <w:sz w:val="22"/>
        </w:rPr>
        <w:t>Ingenierías (numeral 11, criterio 2.f de los Términos de Referencia), en orden de primera aparición, y</w:t>
      </w:r>
    </w:p>
    <w:p>
      <w:r>
        <w:rPr>
          <w:rFonts w:ascii="Calibri" w:hAnsi="Calibri"/>
          <w:b w:val="0"/>
          <w:color w:val="2B2B2B"/>
          <w:sz w:val="22"/>
        </w:rPr>
        <w:t>se consolidan en el apartado "Lista de referencias".</w:t>
      </w:r>
    </w:p>
    <w:p>
      <w:pPr>
        <w:spacing w:before="200" w:after="60"/>
      </w:pPr>
      <w:r>
        <w:rPr>
          <w:rFonts w:ascii="Calibri" w:hAnsi="Calibri"/>
          <w:b/>
          <w:color w:val="007433"/>
          <w:sz w:val="32"/>
        </w:rPr>
        <w:t>Antecedentes de investigación consultados</w:t>
      </w:r>
    </w:p>
    <w:p>
      <w:r>
        <w:rPr>
          <w:rFonts w:ascii="Calibri" w:hAnsi="Calibri"/>
          <w:b w:val="0"/>
          <w:color w:val="2B2B2B"/>
          <w:sz w:val="22"/>
        </w:rPr>
        <w:t>La brecha de ciberseguridad en las pequeñas y medianas empresas está documentada de manera consistente y</w:t>
      </w:r>
    </w:p>
    <w:p>
      <w:r>
        <w:rPr>
          <w:rFonts w:ascii="Calibri" w:hAnsi="Calibri"/>
          <w:b w:val="0"/>
          <w:color w:val="2B2B2B"/>
          <w:sz w:val="22"/>
        </w:rPr>
        <w:t>su forma es estructural, no accidental. El informe de la Agencia de la Unión Europea para la</w:t>
      </w:r>
    </w:p>
    <w:p>
      <w:r>
        <w:rPr>
          <w:rFonts w:ascii="Calibri" w:hAnsi="Calibri"/>
          <w:b w:val="0"/>
          <w:color w:val="2B2B2B"/>
          <w:sz w:val="22"/>
        </w:rPr>
        <w:t>Ciberseguridad sobre ciberseguridad en pymes [1] identifica un patrón que se repite con independencia del</w:t>
      </w:r>
    </w:p>
    <w:p>
      <w:r>
        <w:rPr>
          <w:rFonts w:ascii="Calibri" w:hAnsi="Calibri"/>
          <w:b w:val="0"/>
          <w:color w:val="2B2B2B"/>
          <w:sz w:val="22"/>
        </w:rPr>
        <w:t>país: las pymes reconocen los riesgos, pero enfrentan simultáneamente ausencia de personal dedicado,</w:t>
      </w:r>
    </w:p>
    <w:p>
      <w:r>
        <w:rPr>
          <w:rFonts w:ascii="Calibri" w:hAnsi="Calibri"/>
          <w:b w:val="0"/>
          <w:color w:val="2B2B2B"/>
          <w:sz w:val="22"/>
        </w:rPr>
        <w:t>presupuesto reducido, dependencia de proveedores externos y una percepción de que las recomendaciones</w:t>
      </w:r>
    </w:p>
    <w:p>
      <w:r>
        <w:rPr>
          <w:rFonts w:ascii="Calibri" w:hAnsi="Calibri"/>
          <w:b w:val="0"/>
          <w:color w:val="2B2B2B"/>
          <w:sz w:val="22"/>
        </w:rPr>
        <w:t>disponibles están escritas para organizaciones con estructura de la que ellas carecen. Ese último punto</w:t>
      </w:r>
    </w:p>
    <w:p>
      <w:r>
        <w:rPr>
          <w:rFonts w:ascii="Calibri" w:hAnsi="Calibri"/>
          <w:b w:val="0"/>
          <w:color w:val="2B2B2B"/>
          <w:sz w:val="22"/>
        </w:rPr>
        <w:t>es el que sostiene esta propuesta: el problema no es la falta de marcos de referencia, es su escala.</w:t>
      </w:r>
    </w:p>
    <w:p>
      <w:r>
        <w:rPr>
          <w:rFonts w:ascii="Calibri" w:hAnsi="Calibri"/>
          <w:b w:val="0"/>
          <w:color w:val="2B2B2B"/>
          <w:sz w:val="22"/>
        </w:rPr>
        <w:t>Los marcos existentes son sólidos y, a la vez, exigentes. El *Framework for Improving Critical</w:t>
      </w:r>
    </w:p>
    <w:p>
      <w:r>
        <w:rPr>
          <w:rFonts w:ascii="Calibri" w:hAnsi="Calibri"/>
          <w:b w:val="0"/>
          <w:color w:val="2B2B2B"/>
          <w:sz w:val="22"/>
        </w:rPr>
        <w:t>Infrastructure Cybersecurity* del NIST [2] organiza la gestión del riesgo en funciones —identificar,</w:t>
      </w:r>
    </w:p>
    <w:p>
      <w:r>
        <w:rPr>
          <w:rFonts w:ascii="Calibri" w:hAnsi="Calibri"/>
          <w:b w:val="0"/>
          <w:color w:val="2B2B2B"/>
          <w:sz w:val="22"/>
        </w:rPr>
        <w:t>proteger, detectar, responder, recuperar— y define niveles de implementación que permiten graduar la</w:t>
      </w:r>
    </w:p>
    <w:p>
      <w:r>
        <w:rPr>
          <w:rFonts w:ascii="Calibri" w:hAnsi="Calibri"/>
          <w:b w:val="0"/>
          <w:color w:val="2B2B2B"/>
          <w:sz w:val="22"/>
        </w:rPr>
        <w:t>exigencia, lo que lo hace adaptable a organizaciones con recursos limitados. Los *Critical Security</w:t>
      </w:r>
    </w:p>
    <w:p>
      <w:r>
        <w:rPr>
          <w:rFonts w:ascii="Calibri" w:hAnsi="Calibri"/>
          <w:b w:val="0"/>
          <w:color w:val="2B2B2B"/>
          <w:sz w:val="22"/>
        </w:rPr>
        <w:t>Controls* del Center for Internet Security [3] van más lejos en esa dirección al agrupar los controles</w:t>
      </w:r>
    </w:p>
    <w:p>
      <w:r>
        <w:rPr>
          <w:rFonts w:ascii="Calibri" w:hAnsi="Calibri"/>
          <w:b w:val="0"/>
          <w:color w:val="2B2B2B"/>
          <w:sz w:val="22"/>
        </w:rPr>
        <w:t>por grupos de implementación, reservando el primero para organizaciones pequeñas y con capacidad</w:t>
      </w:r>
    </w:p>
    <w:p>
      <w:r>
        <w:rPr>
          <w:rFonts w:ascii="Calibri" w:hAnsi="Calibri"/>
          <w:b w:val="0"/>
          <w:color w:val="2B2B2B"/>
          <w:sz w:val="22"/>
        </w:rPr>
        <w:t>limitada: es el antecedente más directo de lo que este proyecto quiere producir para el contexto</w:t>
      </w:r>
    </w:p>
    <w:p>
      <w:r>
        <w:rPr>
          <w:rFonts w:ascii="Calibri" w:hAnsi="Calibri"/>
          <w:b w:val="0"/>
          <w:color w:val="2B2B2B"/>
          <w:sz w:val="22"/>
        </w:rPr>
        <w:t>colombiano. La norma ISO/IEC 27001:2022 [4] y su catálogo de controles ISO/IEC 27002:2022 [5] constituyen</w:t>
      </w:r>
    </w:p>
    <w:p>
      <w:r>
        <w:rPr>
          <w:rFonts w:ascii="Calibri" w:hAnsi="Calibri"/>
          <w:b w:val="0"/>
          <w:color w:val="2B2B2B"/>
          <w:sz w:val="22"/>
        </w:rPr>
        <w:t>la referencia internacional para estructurar un sistema de gestión de seguridad de la información, pero</w:t>
      </w:r>
    </w:p>
    <w:p>
      <w:r>
        <w:rPr>
          <w:rFonts w:ascii="Calibri" w:hAnsi="Calibri"/>
          <w:b w:val="0"/>
          <w:color w:val="2B2B2B"/>
          <w:sz w:val="22"/>
        </w:rPr>
        <w:t>su implementación completa y su certificación son un proyecto de otra magnitud; de ahí que este estudio</w:t>
      </w:r>
    </w:p>
    <w:p>
      <w:r>
        <w:rPr>
          <w:rFonts w:ascii="Calibri" w:hAnsi="Calibri"/>
          <w:b w:val="0"/>
          <w:color w:val="2B2B2B"/>
          <w:sz w:val="22"/>
        </w:rPr>
        <w:t xml:space="preserve">tome de ellas un </w:t>
      </w:r>
      <w:r>
        <w:rPr>
          <w:rFonts w:ascii="Calibri" w:hAnsi="Calibri"/>
          <w:b/>
          <w:color w:val="2B2B2B"/>
          <w:sz w:val="22"/>
        </w:rPr>
        <w:t>subconjunto de controles seleccionados y justificados</w:t>
      </w:r>
      <w:r>
        <w:rPr>
          <w:rFonts w:ascii="Calibri" w:hAnsi="Calibri"/>
          <w:b w:val="0"/>
          <w:color w:val="2B2B2B"/>
          <w:sz w:val="22"/>
        </w:rPr>
        <w:t>, no la norma entera, y lo</w:t>
      </w:r>
    </w:p>
    <w:p>
      <w:r>
        <w:rPr>
          <w:rFonts w:ascii="Calibri" w:hAnsi="Calibri"/>
          <w:b w:val="0"/>
          <w:color w:val="2B2B2B"/>
          <w:sz w:val="22"/>
        </w:rPr>
        <w:t>declare así en lugar de insinuar una implementación que no ocurrirá.</w:t>
      </w:r>
    </w:p>
    <w:p>
      <w:r>
        <w:rPr>
          <w:rFonts w:ascii="Calibri" w:hAnsi="Calibri"/>
          <w:b w:val="0"/>
          <w:color w:val="2B2B2B"/>
          <w:sz w:val="22"/>
        </w:rPr>
        <w:t>En el plano normativo colombiano, la Ley Estatutaria 1581 de 2012 [6] y su decreto reglamentario 1377 de</w:t>
      </w:r>
    </w:p>
    <w:p>
      <w:r>
        <w:rPr>
          <w:rFonts w:ascii="Calibri" w:hAnsi="Calibri"/>
          <w:b w:val="0"/>
          <w:color w:val="2B2B2B"/>
          <w:sz w:val="22"/>
        </w:rPr>
        <w:t>2013 [7] fijan los principios y deberes del tratamiento de datos personales —autorización previa,</w:t>
      </w:r>
    </w:p>
    <w:p>
      <w:r>
        <w:rPr>
          <w:rFonts w:ascii="Calibri" w:hAnsi="Calibri"/>
          <w:b w:val="0"/>
          <w:color w:val="2B2B2B"/>
          <w:sz w:val="22"/>
        </w:rPr>
        <w:t>finalidad, seguridad, confidencialidad, atención de consultas y reclamos, políticas internas de</w:t>
      </w:r>
    </w:p>
    <w:p>
      <w:r>
        <w:rPr>
          <w:rFonts w:ascii="Calibri" w:hAnsi="Calibri"/>
          <w:b w:val="0"/>
          <w:color w:val="2B2B2B"/>
          <w:sz w:val="22"/>
        </w:rPr>
        <w:t>tratamiento— sin distinguir por tamaño del responsable: una empresa de ocho empleados que maneja una base</w:t>
      </w:r>
    </w:p>
    <w:p>
      <w:r>
        <w:rPr>
          <w:rFonts w:ascii="Calibri" w:hAnsi="Calibri"/>
          <w:b w:val="0"/>
          <w:color w:val="2B2B2B"/>
          <w:sz w:val="22"/>
        </w:rPr>
        <w:t>de clientes tiene, en lo esencial, los mismos deberes que un banco. La Ley 1273 de 2009 [8] tipifica los</w:t>
      </w:r>
    </w:p>
    <w:p>
      <w:r>
        <w:rPr>
          <w:rFonts w:ascii="Calibri" w:hAnsi="Calibri"/>
          <w:b w:val="0"/>
          <w:color w:val="2B2B2B"/>
          <w:sz w:val="22"/>
        </w:rPr>
        <w:t>delitos informáticos y añade la dimensión penal del acceso abusivo a sistemas y de la violación de datos</w:t>
      </w:r>
    </w:p>
    <w:p>
      <w:r>
        <w:rPr>
          <w:rFonts w:ascii="Calibri" w:hAnsi="Calibri"/>
          <w:b w:val="0"/>
          <w:color w:val="2B2B2B"/>
          <w:sz w:val="22"/>
        </w:rPr>
        <w:t>personales. Y la política pública, expresada en el CONPES 3995 de 2020 sobre confianza y seguridad</w:t>
      </w:r>
    </w:p>
    <w:p>
      <w:r>
        <w:rPr>
          <w:rFonts w:ascii="Calibri" w:hAnsi="Calibri"/>
          <w:b w:val="0"/>
          <w:color w:val="2B2B2B"/>
          <w:sz w:val="22"/>
        </w:rPr>
        <w:t>digital [9], reconoce explícitamente la necesidad de elevar las capacidades digitales del tejido</w:t>
      </w:r>
    </w:p>
    <w:p>
      <w:r>
        <w:rPr>
          <w:rFonts w:ascii="Calibri" w:hAnsi="Calibri"/>
          <w:b w:val="0"/>
          <w:color w:val="2B2B2B"/>
          <w:sz w:val="22"/>
        </w:rPr>
        <w:t>empresarial. Existe, entonces, obligación jurídica, existe política pública y existen marcos técnicos;</w:t>
      </w:r>
    </w:p>
    <w:p>
      <w:r>
        <w:rPr>
          <w:rFonts w:ascii="Calibri" w:hAnsi="Calibri"/>
          <w:b w:val="0"/>
          <w:color w:val="2B2B2B"/>
          <w:sz w:val="22"/>
        </w:rPr>
        <w:t>lo que no existe es evidencia local sobre qué tan lejos están las pymes de cumplir, ni instrumentos de</w:t>
      </w:r>
    </w:p>
    <w:p>
      <w:r>
        <w:rPr>
          <w:rFonts w:ascii="Calibri" w:hAnsi="Calibri"/>
          <w:b w:val="0"/>
          <w:color w:val="2B2B2B"/>
          <w:sz w:val="22"/>
        </w:rPr>
        <w:t>diagnóstico de su escala.</w:t>
      </w:r>
    </w:p>
    <w:p>
      <w:r>
        <w:rPr>
          <w:rFonts w:ascii="Calibri" w:hAnsi="Calibri"/>
          <w:b w:val="0"/>
          <w:color w:val="2B2B2B"/>
          <w:sz w:val="22"/>
        </w:rPr>
        <w:t>Del lado del componente tecnológico, la detección de anomalías tiene una tradición metodológica</w:t>
      </w:r>
    </w:p>
    <w:p>
      <w:r>
        <w:rPr>
          <w:rFonts w:ascii="Calibri" w:hAnsi="Calibri"/>
          <w:b w:val="0"/>
          <w:color w:val="2B2B2B"/>
          <w:sz w:val="22"/>
        </w:rPr>
        <w:t>consolidada. La revisión de Chandola, Banerjee y Kumar [10] sistematiza el problema, sus variantes</w:t>
      </w:r>
    </w:p>
    <w:p>
      <w:r>
        <w:rPr>
          <w:rFonts w:ascii="Calibri" w:hAnsi="Calibri"/>
          <w:b w:val="0"/>
          <w:color w:val="2B2B2B"/>
          <w:sz w:val="22"/>
        </w:rPr>
        <w:t>—supervisada, semisupervisada y no supervisada—, las familias de técnicas y, de manera especialmente</w:t>
      </w:r>
    </w:p>
    <w:p>
      <w:r>
        <w:rPr>
          <w:rFonts w:ascii="Calibri" w:hAnsi="Calibri"/>
          <w:b w:val="0"/>
          <w:color w:val="2B2B2B"/>
          <w:sz w:val="22"/>
        </w:rPr>
        <w:t>pertinente aquí, la dificultad de evaluar detectores cuando no se dispone de etiquetas de referencia. El</w:t>
      </w:r>
    </w:p>
    <w:p>
      <w:r>
        <w:rPr>
          <w:rFonts w:ascii="Calibri" w:hAnsi="Calibri"/>
          <w:b w:val="0"/>
          <w:color w:val="2B2B2B"/>
          <w:sz w:val="22"/>
        </w:rPr>
        <w:t>algoritmo *Isolation Forest* de Liu, Ting y Zhou [11] resuelve el caso no supervisado aislando</w:t>
      </w:r>
    </w:p>
    <w:p>
      <w:r>
        <w:rPr>
          <w:rFonts w:ascii="Calibri" w:hAnsi="Calibri"/>
          <w:b w:val="0"/>
          <w:color w:val="2B2B2B"/>
          <w:sz w:val="22"/>
        </w:rPr>
        <w:t>observaciones atípicas mediante particiones aleatorias, con complejidad baja y sin suponer una</w:t>
      </w:r>
    </w:p>
    <w:p>
      <w:r>
        <w:rPr>
          <w:rFonts w:ascii="Calibri" w:hAnsi="Calibri"/>
          <w:b w:val="0"/>
          <w:color w:val="2B2B2B"/>
          <w:sz w:val="22"/>
        </w:rPr>
        <w:t>distribución de los datos, lo que lo hace apropiado para volúmenes modestos de registros de acceso y para</w:t>
      </w:r>
    </w:p>
    <w:p>
      <w:r>
        <w:rPr>
          <w:rFonts w:ascii="Calibri" w:hAnsi="Calibri"/>
          <w:b w:val="0"/>
          <w:color w:val="2B2B2B"/>
          <w:sz w:val="22"/>
        </w:rPr>
        <w:t>ejecución en equipos ordinarios. La advertencia metodológica que se extrae de [10] es la que gobierna el</w:t>
      </w:r>
    </w:p>
    <w:p>
      <w:r>
        <w:rPr>
          <w:rFonts w:ascii="Calibri" w:hAnsi="Calibri"/>
          <w:b w:val="0"/>
          <w:color w:val="2B2B2B"/>
          <w:sz w:val="22"/>
        </w:rPr>
        <w:t>diseño del tercer objetivo específico: sin un conjunto de referencia con anomalías conocidas, cualquier</w:t>
      </w:r>
    </w:p>
    <w:p>
      <w:r>
        <w:rPr>
          <w:rFonts w:ascii="Calibri" w:hAnsi="Calibri"/>
          <w:b w:val="0"/>
          <w:color w:val="2B2B2B"/>
          <w:sz w:val="22"/>
        </w:rPr>
        <w:t>afirmación sobre el desempeño del detector es indemostrable; por eso el prototipo se evalúa sobre</w:t>
      </w:r>
    </w:p>
    <w:p>
      <w:r>
        <w:rPr>
          <w:rFonts w:ascii="Calibri" w:hAnsi="Calibri"/>
          <w:b w:val="0"/>
          <w:color w:val="2B2B2B"/>
          <w:sz w:val="22"/>
        </w:rPr>
        <w:t xml:space="preserve">registros con </w:t>
      </w:r>
      <w:r>
        <w:rPr>
          <w:rFonts w:ascii="Calibri" w:hAnsi="Calibri"/>
          <w:b/>
          <w:color w:val="2B2B2B"/>
          <w:sz w:val="22"/>
        </w:rPr>
        <w:t>anomalías inyectadas deliberadamente</w:t>
      </w:r>
      <w:r>
        <w:rPr>
          <w:rFonts w:ascii="Calibri" w:hAnsi="Calibri"/>
          <w:b w:val="0"/>
          <w:color w:val="2B2B2B"/>
          <w:sz w:val="22"/>
        </w:rPr>
        <w:t>, y no sobre la impresión de que "encontró cosas</w:t>
      </w:r>
    </w:p>
    <w:p>
      <w:r>
        <w:rPr>
          <w:rFonts w:ascii="Calibri" w:hAnsi="Calibri"/>
          <w:b w:val="0"/>
          <w:color w:val="2B2B2B"/>
          <w:sz w:val="22"/>
        </w:rPr>
        <w:t>raras".</w:t>
      </w:r>
    </w:p>
    <w:p>
      <w:r>
        <w:rPr>
          <w:rFonts w:ascii="Calibri" w:hAnsi="Calibri"/>
          <w:b w:val="0"/>
          <w:color w:val="2B2B2B"/>
          <w:sz w:val="22"/>
        </w:rPr>
        <w:t>Finalmente, el diagnóstico que aquí se propone es una forma de calificación con instrumento y hereda sus</w:t>
      </w:r>
    </w:p>
    <w:p>
      <w:r>
        <w:rPr>
          <w:rFonts w:ascii="Calibri" w:hAnsi="Calibri"/>
          <w:b w:val="0"/>
          <w:color w:val="2B2B2B"/>
          <w:sz w:val="22"/>
        </w:rPr>
        <w:t>exigencias: Krippendorff [12] establece que la validez de este tipo de medición depende de una unidad de</w:t>
      </w:r>
    </w:p>
    <w:p>
      <w:r>
        <w:rPr>
          <w:rFonts w:ascii="Calibri" w:hAnsi="Calibri"/>
          <w:b w:val="0"/>
          <w:color w:val="2B2B2B"/>
          <w:sz w:val="22"/>
        </w:rPr>
        <w:t>análisis definida, de anclas explícitas de calificación y del reporte de acuerdo entre calificadores</w:t>
      </w:r>
    </w:p>
    <w:p>
      <w:r>
        <w:rPr>
          <w:rFonts w:ascii="Calibri" w:hAnsi="Calibri"/>
          <w:b w:val="0"/>
          <w:color w:val="2B2B2B"/>
          <w:sz w:val="22"/>
        </w:rPr>
        <w:t>independientes. De ahí proviene la decisión de vincular un segundo diagnosticador y de fijar un umbral de</w:t>
      </w:r>
    </w:p>
    <w:p>
      <w:r>
        <w:rPr>
          <w:rFonts w:ascii="Calibri" w:hAnsi="Calibri"/>
          <w:b w:val="0"/>
          <w:color w:val="2B2B2B"/>
          <w:sz w:val="22"/>
        </w:rPr>
        <w:t>acuerdo por adelantado.</w:t>
      </w:r>
    </w:p>
    <w:p>
      <w:pPr>
        <w:spacing w:before="200" w:after="60"/>
      </w:pPr>
      <w:r>
        <w:rPr>
          <w:rFonts w:ascii="Calibri" w:hAnsi="Calibri"/>
          <w:b/>
          <w:color w:val="007433"/>
          <w:sz w:val="32"/>
        </w:rPr>
        <w:t>Antecedentes en la CUN</w:t>
      </w:r>
    </w:p>
    <w:p>
      <w:r>
        <w:rPr>
          <w:rFonts w:ascii="Calibri" w:hAnsi="Calibri"/>
          <w:b w:val="0"/>
          <w:color w:val="2B2B2B"/>
          <w:sz w:val="22"/>
        </w:rPr>
        <w:t>No se identificaron proyectos CUN documentados que hayan diagnosticado el nivel de madurez en protección</w:t>
      </w:r>
    </w:p>
    <w:p>
      <w:r>
        <w:rPr>
          <w:rFonts w:ascii="Calibri" w:hAnsi="Calibri"/>
          <w:b w:val="0"/>
          <w:color w:val="2B2B2B"/>
          <w:sz w:val="22"/>
        </w:rPr>
        <w:t>de datos personales y ciberseguridad de organizaciones externas aliadas. Sí existen dos condiciones</w:t>
      </w:r>
    </w:p>
    <w:p>
      <w:r>
        <w:rPr>
          <w:rFonts w:ascii="Calibri" w:hAnsi="Calibri"/>
          <w:b w:val="0"/>
          <w:color w:val="2B2B2B"/>
          <w:sz w:val="22"/>
        </w:rPr>
        <w:t>institucionales que esta propuesta aprovecha y que conviene nombrar con precisión, sin exagerarlas.</w:t>
      </w:r>
    </w:p>
    <w:p>
      <w:r>
        <w:rPr>
          <w:rFonts w:ascii="Calibri" w:hAnsi="Calibri"/>
          <w:b/>
          <w:color w:val="2B2B2B"/>
          <w:sz w:val="22"/>
        </w:rPr>
        <w:t>La primera es el relacionamiento existente con el sector productivo:</w:t>
      </w:r>
      <w:r>
        <w:rPr>
          <w:rFonts w:ascii="Calibri" w:hAnsi="Calibri"/>
          <w:b w:val="0"/>
          <w:color w:val="2B2B2B"/>
          <w:sz w:val="22"/>
        </w:rPr>
        <w:t xml:space="preserve"> la institución sostiene</w:t>
      </w:r>
    </w:p>
    <w:p>
      <w:r>
        <w:rPr>
          <w:rFonts w:ascii="Calibri" w:hAnsi="Calibri"/>
          <w:b w:val="0"/>
          <w:color w:val="2B2B2B"/>
          <w:sz w:val="22"/>
        </w:rPr>
        <w:t>convenios y prácticas empresariales que constituyen la puerta de entrada a las organizaciones, y el</w:t>
      </w:r>
    </w:p>
    <w:p>
      <w:r>
        <w:rPr>
          <w:rFonts w:ascii="Calibri" w:hAnsi="Calibri"/>
          <w:b w:val="0"/>
          <w:color w:val="2B2B2B"/>
          <w:sz w:val="22"/>
        </w:rPr>
        <w:t>numeral 3 de los Términos de Referencia invita expresamente a construir sobre esa base. **Esa puerta,</w:t>
      </w:r>
    </w:p>
    <w:p>
      <w:r>
        <w:rPr>
          <w:rFonts w:ascii="Calibri" w:hAnsi="Calibri"/>
          <w:b w:val="0"/>
          <w:color w:val="2B2B2B"/>
          <w:sz w:val="22"/>
        </w:rPr>
        <w:t>sin embargo, está por verificar** —cuántas organizaciones, de qué sector, con qué interlocutor— y su</w:t>
      </w:r>
    </w:p>
    <w:p>
      <w:r>
        <w:rPr>
          <w:rFonts w:ascii="Calibri" w:hAnsi="Calibri"/>
          <w:b w:val="0"/>
          <w:color w:val="2B2B2B"/>
          <w:sz w:val="22"/>
        </w:rPr>
        <w:t>verificación es el pendiente 6 de este documento, no un supuesto del diseño. **La segunda es la propia</w:t>
      </w:r>
    </w:p>
    <w:p>
      <w:r>
        <w:rPr>
          <w:rFonts w:ascii="Calibri" w:hAnsi="Calibri"/>
          <w:b w:val="0"/>
          <w:color w:val="2B2B2B"/>
          <w:sz w:val="22"/>
        </w:rPr>
        <w:t>condición de la CUN como responsable del tratamiento de datos personales** de su comunidad, que hace del</w:t>
      </w:r>
    </w:p>
    <w:p>
      <w:r>
        <w:rPr>
          <w:rFonts w:ascii="Calibri" w:hAnsi="Calibri"/>
          <w:b w:val="0"/>
          <w:color w:val="2B2B2B"/>
          <w:sz w:val="22"/>
        </w:rPr>
        <w:t>instrumento producido un activo con uso interno posible; se menciona como potencial, no como compromiso,</w:t>
      </w:r>
    </w:p>
    <w:p>
      <w:r>
        <w:rPr>
          <w:rFonts w:ascii="Calibri" w:hAnsi="Calibri"/>
          <w:b w:val="0"/>
          <w:color w:val="2B2B2B"/>
          <w:sz w:val="22"/>
        </w:rPr>
        <w:t>porque auditar a la institución no forma parte de este alcance.</w:t>
      </w:r>
    </w:p>
    <w:p>
      <w:r>
        <w:rPr>
          <w:rFonts w:ascii="Calibri" w:hAnsi="Calibri"/>
          <w:b w:val="0"/>
          <w:color w:val="2B2B2B"/>
          <w:sz w:val="22"/>
        </w:rPr>
        <w:t>Como antecedente interno adicional, y por transparencia, se declara que el investigador principal radica</w:t>
      </w:r>
    </w:p>
    <w:p>
      <w:r>
        <w:rPr>
          <w:rFonts w:ascii="Calibri" w:hAnsi="Calibri"/>
          <w:b w:val="0"/>
          <w:color w:val="2B2B2B"/>
          <w:sz w:val="22"/>
        </w:rPr>
        <w:t>en esta misma convocatoria otras propuestas, independientes de esta en objeto, método y presupuesto; la</w:t>
      </w:r>
    </w:p>
    <w:p>
      <w:r>
        <w:rPr>
          <w:rFonts w:ascii="Calibri" w:hAnsi="Calibri"/>
          <w:b w:val="0"/>
          <w:color w:val="2B2B2B"/>
          <w:sz w:val="22"/>
        </w:rPr>
        <w:t>concurrencia y su efecto sobre la descarga horaria están declarados en el pendiente 12.</w:t>
      </w:r>
    </w:p>
    <w:p>
      <w:pPr>
        <w:spacing w:before="200" w:after="60"/>
      </w:pPr>
      <w:r>
        <w:rPr>
          <w:rFonts w:ascii="Calibri" w:hAnsi="Calibri"/>
          <w:b/>
          <w:color w:val="007433"/>
          <w:sz w:val="32"/>
        </w:rPr>
        <w:t>Qué preexiste y qué produce la convocatoria</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Componente</w:t>
            </w:r>
          </w:p>
        </w:tc>
        <w:tc>
          <w:tcPr>
            <w:tcW w:type="dxa" w:w="3264"/>
            <w:shd w:val="clear" w:fill="0C2340"/>
            <w:shd w:val="clear" w:fill="0C2340"/>
          </w:tcPr>
          <w:p>
            <w:r>
              <w:rPr>
                <w:rFonts w:ascii="Calibri" w:hAnsi="Calibri"/>
                <w:b/>
                <w:color w:val="FFFFFF"/>
              </w:rPr>
            </w:r>
            <w:r>
              <w:rPr>
                <w:rFonts w:ascii="Calibri" w:hAnsi="Calibri"/>
                <w:b/>
                <w:color w:val="FFFFFF"/>
                <w:sz w:val="21"/>
              </w:rPr>
              <w:t>¿Preexiste a la convocatoria?</w:t>
            </w:r>
          </w:p>
        </w:tc>
        <w:tc>
          <w:tcPr>
            <w:tcW w:type="dxa" w:w="3264"/>
            <w:shd w:val="clear" w:fill="0C2340"/>
            <w:shd w:val="clear" w:fill="0C2340"/>
          </w:tcPr>
          <w:p>
            <w:r>
              <w:rPr>
                <w:rFonts w:ascii="Calibri" w:hAnsi="Calibri"/>
                <w:b/>
                <w:color w:val="FFFFFF"/>
              </w:rPr>
            </w:r>
            <w:r>
              <w:rPr>
                <w:rFonts w:ascii="Calibri" w:hAnsi="Calibri"/>
                <w:b/>
                <w:color w:val="FFFFFF"/>
                <w:sz w:val="21"/>
              </w:rPr>
              <w:t>Qué produce la convocatoria</w:t>
            </w:r>
          </w:p>
        </w:tc>
      </w:tr>
      <w:tr>
        <w:tc>
          <w:tcPr>
            <w:tcW w:type="dxa" w:w="3264"/>
          </w:tcPr>
          <w:p>
            <w:r/>
            <w:r>
              <w:rPr>
                <w:rFonts w:ascii="Calibri" w:hAnsi="Calibri"/>
                <w:b w:val="0"/>
                <w:color w:val="2B2B2B"/>
                <w:sz w:val="20"/>
              </w:rPr>
              <w:t>Marcos técnicos y normativos de referencia [2]–[9]</w:t>
            </w:r>
          </w:p>
        </w:tc>
        <w:tc>
          <w:tcPr>
            <w:tcW w:type="dxa" w:w="3264"/>
          </w:tcPr>
          <w:p>
            <w:r/>
            <w:r>
              <w:rPr>
                <w:rFonts w:ascii="Calibri" w:hAnsi="Calibri"/>
                <w:b/>
                <w:color w:val="2B2B2B"/>
                <w:sz w:val="20"/>
              </w:rPr>
              <w:t>Sí</w:t>
            </w:r>
            <w:r>
              <w:rPr>
                <w:rFonts w:ascii="Calibri" w:hAnsi="Calibri"/>
                <w:b w:val="0"/>
                <w:color w:val="2B2B2B"/>
                <w:sz w:val="20"/>
              </w:rPr>
              <w:t>, son públicos y de terceros.</w:t>
            </w:r>
          </w:p>
        </w:tc>
        <w:tc>
          <w:tcPr>
            <w:tcW w:type="dxa" w:w="3264"/>
          </w:tcPr>
          <w:p>
            <w:r/>
            <w:r>
              <w:rPr>
                <w:rFonts w:ascii="Calibri" w:hAnsi="Calibri"/>
                <w:b w:val="0"/>
                <w:color w:val="2B2B2B"/>
                <w:sz w:val="20"/>
              </w:rPr>
              <w:t xml:space="preserve">Su </w:t>
            </w:r>
            <w:r>
              <w:rPr>
                <w:rFonts w:ascii="Calibri" w:hAnsi="Calibri"/>
                <w:b/>
                <w:color w:val="2B2B2B"/>
                <w:sz w:val="20"/>
              </w:rPr>
              <w:t>traducción a un instrumento de diagnóstico de escala pyme</w:t>
            </w:r>
            <w:r>
              <w:rPr>
                <w:rFonts w:ascii="Calibri" w:hAnsi="Calibri"/>
                <w:b w:val="0"/>
                <w:color w:val="2B2B2B"/>
                <w:sz w:val="20"/>
              </w:rPr>
              <w:t>: matriz de correspondencia entre deber legal, control del estándar y pregunta verificable en sitio.</w:t>
            </w:r>
          </w:p>
        </w:tc>
      </w:tr>
      <w:tr>
        <w:tc>
          <w:tcPr>
            <w:tcW w:type="dxa" w:w="3264"/>
            <w:shd w:val="clear" w:fill="F5F7F5"/>
            <w:shd w:val="clear" w:fill="F5F7F5"/>
          </w:tcPr>
          <w:p>
            <w:r/>
            <w:r>
              <w:rPr>
                <w:rFonts w:ascii="Calibri" w:hAnsi="Calibri"/>
                <w:b w:val="0"/>
                <w:color w:val="2B2B2B"/>
                <w:sz w:val="20"/>
              </w:rPr>
              <w:t>Instrumento de diagnóstico de madurez ajustado a pymes colombianas</w:t>
            </w:r>
          </w:p>
        </w:tc>
        <w:tc>
          <w:tcPr>
            <w:tcW w:type="dxa" w:w="3264"/>
            <w:shd w:val="clear" w:fill="F5F7F5"/>
            <w:shd w:val="clear" w:fill="F5F7F5"/>
          </w:tcPr>
          <w:p>
            <w:r/>
            <w:r>
              <w:rPr>
                <w:rFonts w:ascii="Calibri" w:hAnsi="Calibri"/>
                <w:b/>
                <w:color w:val="2B2B2B"/>
                <w:sz w:val="20"/>
              </w:rPr>
              <w:t>No existe</w:t>
            </w:r>
            <w:r>
              <w:rPr>
                <w:rFonts w:ascii="Calibri" w:hAnsi="Calibri"/>
                <w:b w:val="0"/>
                <w:color w:val="2B2B2B"/>
                <w:sz w:val="20"/>
              </w:rPr>
              <w:t xml:space="preserve"> como activo institucional.</w:t>
            </w:r>
          </w:p>
        </w:tc>
        <w:tc>
          <w:tcPr>
            <w:tcW w:type="dxa" w:w="3264"/>
            <w:shd w:val="clear" w:fill="F5F7F5"/>
            <w:shd w:val="clear" w:fill="F5F7F5"/>
          </w:tcPr>
          <w:p>
            <w:r/>
            <w:r>
              <w:rPr>
                <w:rFonts w:ascii="Calibri" w:hAnsi="Calibri"/>
                <w:b w:val="0"/>
                <w:color w:val="2B2B2B"/>
                <w:sz w:val="20"/>
              </w:rPr>
              <w:t xml:space="preserve">Se </w:t>
            </w:r>
            <w:r>
              <w:rPr>
                <w:rFonts w:ascii="Calibri" w:hAnsi="Calibri"/>
                <w:b/>
                <w:color w:val="2B2B2B"/>
                <w:sz w:val="20"/>
              </w:rPr>
              <w:t>construye, somete a juicio de expertos y aplica</w:t>
            </w:r>
            <w:r>
              <w:rPr>
                <w:rFonts w:ascii="Calibri" w:hAnsi="Calibri"/>
                <w:b w:val="0"/>
                <w:color w:val="2B2B2B"/>
                <w:sz w:val="20"/>
              </w:rPr>
              <w:t>, con anclas de calificación y acuerdo entre evaluadores reportado.</w:t>
            </w:r>
          </w:p>
        </w:tc>
      </w:tr>
      <w:tr>
        <w:tc>
          <w:tcPr>
            <w:tcW w:type="dxa" w:w="3264"/>
          </w:tcPr>
          <w:p>
            <w:r/>
            <w:r>
              <w:rPr>
                <w:rFonts w:ascii="Calibri" w:hAnsi="Calibri"/>
                <w:b w:val="0"/>
                <w:color w:val="2B2B2B"/>
                <w:sz w:val="20"/>
              </w:rPr>
              <w:t>Línea base de madurez de las pymes aliadas de la CUN</w:t>
            </w:r>
          </w:p>
        </w:tc>
        <w:tc>
          <w:tcPr>
            <w:tcW w:type="dxa" w:w="3264"/>
          </w:tcPr>
          <w:p>
            <w:r/>
            <w:r>
              <w:rPr>
                <w:rFonts w:ascii="Calibri" w:hAnsi="Calibri"/>
                <w:b/>
                <w:color w:val="2B2B2B"/>
                <w:sz w:val="20"/>
              </w:rPr>
              <w:t>No existe.</w:t>
            </w:r>
          </w:p>
        </w:tc>
        <w:tc>
          <w:tcPr>
            <w:tcW w:type="dxa" w:w="3264"/>
          </w:tcPr>
          <w:p>
            <w:r/>
            <w:r>
              <w:rPr>
                <w:rFonts w:ascii="Calibri" w:hAnsi="Calibri"/>
                <w:b w:val="0"/>
                <w:color w:val="2B2B2B"/>
                <w:sz w:val="20"/>
              </w:rPr>
              <w:t xml:space="preserve">Se </w:t>
            </w:r>
            <w:r>
              <w:rPr>
                <w:rFonts w:ascii="Calibri" w:hAnsi="Calibri"/>
                <w:b/>
                <w:color w:val="2B2B2B"/>
                <w:sz w:val="20"/>
              </w:rPr>
              <w:t>produce</w:t>
            </w:r>
            <w:r>
              <w:rPr>
                <w:rFonts w:ascii="Calibri" w:hAnsi="Calibri"/>
                <w:b w:val="0"/>
                <w:color w:val="2B2B2B"/>
                <w:sz w:val="20"/>
              </w:rPr>
              <w:t xml:space="preserve"> el diagnóstico documentado, anonimizado por organización.</w:t>
            </w:r>
          </w:p>
        </w:tc>
      </w:tr>
      <w:tr>
        <w:tc>
          <w:tcPr>
            <w:tcW w:type="dxa" w:w="3264"/>
            <w:shd w:val="clear" w:fill="F5F7F5"/>
            <w:shd w:val="clear" w:fill="F5F7F5"/>
          </w:tcPr>
          <w:p>
            <w:r/>
            <w:r>
              <w:rPr>
                <w:rFonts w:ascii="Calibri" w:hAnsi="Calibri"/>
                <w:b w:val="0"/>
                <w:color w:val="2B2B2B"/>
                <w:sz w:val="20"/>
              </w:rPr>
              <w:t>Modelo de buenas prácticas (lista de verificación + protocolo operativo)</w:t>
            </w:r>
          </w:p>
        </w:tc>
        <w:tc>
          <w:tcPr>
            <w:tcW w:type="dxa" w:w="3264"/>
            <w:shd w:val="clear" w:fill="F5F7F5"/>
            <w:shd w:val="clear" w:fill="F5F7F5"/>
          </w:tcPr>
          <w:p>
            <w:r/>
            <w:r>
              <w:rPr>
                <w:rFonts w:ascii="Calibri" w:hAnsi="Calibri"/>
                <w:b/>
                <w:color w:val="2B2B2B"/>
                <w:sz w:val="20"/>
              </w:rPr>
              <w:t>No existe</w:t>
            </w:r>
            <w:r>
              <w:rPr>
                <w:rFonts w:ascii="Calibri" w:hAnsi="Calibri"/>
                <w:b w:val="0"/>
                <w:color w:val="2B2B2B"/>
                <w:sz w:val="20"/>
              </w:rPr>
              <w:t xml:space="preserve"> para esta escala y este marco normativo.</w:t>
            </w:r>
          </w:p>
        </w:tc>
        <w:tc>
          <w:tcPr>
            <w:tcW w:type="dxa" w:w="3264"/>
            <w:shd w:val="clear" w:fill="F5F7F5"/>
            <w:shd w:val="clear" w:fill="F5F7F5"/>
          </w:tcPr>
          <w:p>
            <w:r/>
            <w:r>
              <w:rPr>
                <w:rFonts w:ascii="Calibri" w:hAnsi="Calibri"/>
                <w:b w:val="0"/>
                <w:color w:val="2B2B2B"/>
                <w:sz w:val="20"/>
              </w:rPr>
              <w:t xml:space="preserve">Se </w:t>
            </w:r>
            <w:r>
              <w:rPr>
                <w:rFonts w:ascii="Calibri" w:hAnsi="Calibri"/>
                <w:b/>
                <w:color w:val="2B2B2B"/>
                <w:sz w:val="20"/>
              </w:rPr>
              <w:t>diseña a partir de los hallazgos</w:t>
            </w:r>
            <w:r>
              <w:rPr>
                <w:rFonts w:ascii="Calibri" w:hAnsi="Calibri"/>
                <w:b w:val="0"/>
                <w:color w:val="2B2B2B"/>
                <w:sz w:val="20"/>
              </w:rPr>
              <w:t xml:space="preserve"> y se valida con las organizaciones destinatarias.</w:t>
            </w:r>
          </w:p>
        </w:tc>
      </w:tr>
      <w:tr>
        <w:tc>
          <w:tcPr>
            <w:tcW w:type="dxa" w:w="3264"/>
          </w:tcPr>
          <w:p>
            <w:r/>
            <w:r>
              <w:rPr>
                <w:rFonts w:ascii="Calibri" w:hAnsi="Calibri"/>
                <w:b w:val="0"/>
                <w:color w:val="2B2B2B"/>
                <w:sz w:val="20"/>
              </w:rPr>
              <w:t>Prototipo de detección de anomalías sobre registros de acceso</w:t>
            </w:r>
          </w:p>
        </w:tc>
        <w:tc>
          <w:tcPr>
            <w:tcW w:type="dxa" w:w="3264"/>
          </w:tcPr>
          <w:p>
            <w:r/>
            <w:r>
              <w:rPr>
                <w:rFonts w:ascii="Calibri" w:hAnsi="Calibri"/>
                <w:b/>
                <w:color w:val="2B2B2B"/>
                <w:sz w:val="20"/>
              </w:rPr>
              <w:t>No existe.</w:t>
            </w:r>
            <w:r>
              <w:rPr>
                <w:rFonts w:ascii="Calibri" w:hAnsi="Calibri"/>
                <w:b w:val="0"/>
                <w:color w:val="2B2B2B"/>
                <w:sz w:val="20"/>
              </w:rPr>
              <w:t xml:space="preserve"> Las librerías (scikit-learn, pandas) y el algoritmo [11] sí preexisten y son de código abierto.</w:t>
            </w:r>
          </w:p>
        </w:tc>
        <w:tc>
          <w:tcPr>
            <w:tcW w:type="dxa" w:w="3264"/>
          </w:tcPr>
          <w:p>
            <w:r/>
            <w:r>
              <w:rPr>
                <w:rFonts w:ascii="Calibri" w:hAnsi="Calibri"/>
                <w:b w:val="0"/>
                <w:color w:val="2B2B2B"/>
                <w:sz w:val="20"/>
              </w:rPr>
              <w:t xml:space="preserve">Se </w:t>
            </w:r>
            <w:r>
              <w:rPr>
                <w:rFonts w:ascii="Calibri" w:hAnsi="Calibri"/>
                <w:b/>
                <w:color w:val="2B2B2B"/>
                <w:sz w:val="20"/>
              </w:rPr>
              <w:t>implementa, se evalúa contra un detector de referencia y se documenta</w:t>
            </w:r>
            <w:r>
              <w:rPr>
                <w:rFonts w:ascii="Calibri" w:hAnsi="Calibri"/>
                <w:b w:val="0"/>
                <w:color w:val="2B2B2B"/>
                <w:sz w:val="20"/>
              </w:rPr>
              <w:t xml:space="preserve"> como cuaderno reproducible con datos sintéticos de ejemplo.</w:t>
            </w:r>
          </w:p>
        </w:tc>
      </w:tr>
      <w:tr>
        <w:tc>
          <w:tcPr>
            <w:tcW w:type="dxa" w:w="3264"/>
            <w:shd w:val="clear" w:fill="F5F7F5"/>
            <w:shd w:val="clear" w:fill="F5F7F5"/>
          </w:tcPr>
          <w:p>
            <w:r/>
            <w:r>
              <w:rPr>
                <w:rFonts w:ascii="Calibri" w:hAnsi="Calibri"/>
                <w:b w:val="0"/>
                <w:color w:val="2B2B2B"/>
                <w:sz w:val="20"/>
              </w:rPr>
              <w:t>Cartilla de apropiación social para las organizaciones</w:t>
            </w:r>
          </w:p>
        </w:tc>
        <w:tc>
          <w:tcPr>
            <w:tcW w:type="dxa" w:w="3264"/>
            <w:shd w:val="clear" w:fill="F5F7F5"/>
            <w:shd w:val="clear" w:fill="F5F7F5"/>
          </w:tcPr>
          <w:p>
            <w:r/>
            <w:r>
              <w:rPr>
                <w:rFonts w:ascii="Calibri" w:hAnsi="Calibri"/>
                <w:b/>
                <w:color w:val="2B2B2B"/>
                <w:sz w:val="20"/>
              </w:rPr>
              <w:t>No existe.</w:t>
            </w:r>
          </w:p>
        </w:tc>
        <w:tc>
          <w:tcPr>
            <w:tcW w:type="dxa" w:w="3264"/>
            <w:shd w:val="clear" w:fill="F5F7F5"/>
            <w:shd w:val="clear" w:fill="F5F7F5"/>
          </w:tcPr>
          <w:p>
            <w:r/>
            <w:r>
              <w:rPr>
                <w:rFonts w:ascii="Calibri" w:hAnsi="Calibri"/>
                <w:b w:val="0"/>
                <w:color w:val="2B2B2B"/>
                <w:sz w:val="20"/>
              </w:rPr>
              <w:t xml:space="preserve">Se </w:t>
            </w:r>
            <w:r>
              <w:rPr>
                <w:rFonts w:ascii="Calibri" w:hAnsi="Calibri"/>
                <w:b/>
                <w:color w:val="2B2B2B"/>
                <w:sz w:val="20"/>
              </w:rPr>
              <w:t>redacta, se diseña y se entrega</w:t>
            </w:r>
            <w:r>
              <w:rPr>
                <w:rFonts w:ascii="Calibri" w:hAnsi="Calibri"/>
                <w:b w:val="0"/>
                <w:color w:val="2B2B2B"/>
                <w:sz w:val="20"/>
              </w:rPr>
              <w:t xml:space="preserve"> en lenguaje no técnico.</w:t>
            </w:r>
          </w:p>
        </w:tc>
      </w:tr>
      <w:tr>
        <w:tc>
          <w:tcPr>
            <w:tcW w:type="dxa" w:w="3264"/>
          </w:tcPr>
          <w:p>
            <w:r/>
            <w:r>
              <w:rPr>
                <w:rFonts w:ascii="Calibri" w:hAnsi="Calibri"/>
                <w:b w:val="0"/>
                <w:color w:val="2B2B2B"/>
                <w:sz w:val="20"/>
              </w:rPr>
              <w:t>Acceso a las organizaciones y cartas de aval (Anexo 3)</w:t>
            </w:r>
          </w:p>
        </w:tc>
        <w:tc>
          <w:tcPr>
            <w:tcW w:type="dxa" w:w="3264"/>
          </w:tcPr>
          <w:p>
            <w:r/>
            <w:r>
              <w:rPr>
                <w:rFonts w:ascii="Calibri" w:hAnsi="Calibri"/>
                <w:b/>
                <w:color w:val="2B2B2B"/>
                <w:sz w:val="20"/>
              </w:rPr>
              <w:t>No confirmado.</w:t>
            </w:r>
          </w:p>
        </w:tc>
        <w:tc>
          <w:tcPr>
            <w:tcW w:type="dxa" w:w="3264"/>
          </w:tcPr>
          <w:p>
            <w:r/>
            <w:r>
              <w:rPr>
                <w:rFonts w:ascii="Calibri" w:hAnsi="Calibri"/>
                <w:b w:val="0"/>
                <w:color w:val="2B2B2B"/>
                <w:sz w:val="20"/>
              </w:rPr>
              <w:t xml:space="preserve">Se </w:t>
            </w:r>
            <w:r>
              <w:rPr>
                <w:rFonts w:ascii="Calibri" w:hAnsi="Calibri"/>
                <w:b/>
                <w:color w:val="2B2B2B"/>
                <w:sz w:val="20"/>
              </w:rPr>
              <w:t>formaliza</w:t>
            </w:r>
            <w:r>
              <w:rPr>
                <w:rFonts w:ascii="Calibri" w:hAnsi="Calibri"/>
                <w:b w:val="0"/>
                <w:color w:val="2B2B2B"/>
                <w:sz w:val="20"/>
              </w:rPr>
              <w:t xml:space="preserve"> con contacto previo a la DNI y firma de cada organización; es requisito habilitante (pendiente 5).</w:t>
            </w:r>
          </w:p>
        </w:tc>
      </w:tr>
    </w:tbl>
    <w:p/>
    <w:p>
      <w:pPr>
        <w:spacing w:before="200" w:after="60"/>
      </w:pPr>
      <w:r>
        <w:rPr>
          <w:rFonts w:ascii="Calibri" w:hAnsi="Calibri"/>
          <w:b/>
          <w:color w:val="007433"/>
          <w:sz w:val="32"/>
        </w:rPr>
        <w:t>Planteamiento del problema de investigación</w:t>
      </w:r>
    </w:p>
    <w:p>
      <w:r>
        <w:rPr>
          <w:rFonts w:ascii="Calibri" w:hAnsi="Calibri"/>
          <w:b w:val="0"/>
          <w:color w:val="2B2B2B"/>
          <w:sz w:val="22"/>
        </w:rPr>
        <w:t>La Ley Estatutaria 1581 de 2012 [6] y el Decreto 1377 de 2013 [7] no graduaron sus deberes por tamaño de</w:t>
      </w:r>
    </w:p>
    <w:p>
      <w:r>
        <w:rPr>
          <w:rFonts w:ascii="Calibri" w:hAnsi="Calibri"/>
          <w:b w:val="0"/>
          <w:color w:val="2B2B2B"/>
          <w:sz w:val="22"/>
        </w:rPr>
        <w:t>organización. Una empresa de ocho personas que administra una base de datos de clientes es, en términos</w:t>
      </w:r>
    </w:p>
    <w:p>
      <w:r>
        <w:rPr>
          <w:rFonts w:ascii="Calibri" w:hAnsi="Calibri"/>
          <w:b w:val="0"/>
          <w:color w:val="2B2B2B"/>
          <w:sz w:val="22"/>
        </w:rPr>
        <w:t>jurídicos, responsable del tratamiento: debe recabar autorización previa e informada, informar la</w:t>
      </w:r>
    </w:p>
    <w:p>
      <w:r>
        <w:rPr>
          <w:rFonts w:ascii="Calibri" w:hAnsi="Calibri"/>
          <w:b w:val="0"/>
          <w:color w:val="2B2B2B"/>
          <w:sz w:val="22"/>
        </w:rPr>
        <w:t>finalidad, adoptar medidas de seguridad, tener una política interna de tratamiento, atender consultas y</w:t>
      </w:r>
    </w:p>
    <w:p>
      <w:r>
        <w:rPr>
          <w:rFonts w:ascii="Calibri" w:hAnsi="Calibri"/>
          <w:b w:val="0"/>
          <w:color w:val="2B2B2B"/>
          <w:sz w:val="22"/>
        </w:rPr>
        <w:t>reclamos en plazos definidos y garantizar los derechos de los titulares. La Ley 1273 de 2009 [8] añade</w:t>
      </w:r>
    </w:p>
    <w:p>
      <w:r>
        <w:rPr>
          <w:rFonts w:ascii="Calibri" w:hAnsi="Calibri"/>
          <w:b w:val="0"/>
          <w:color w:val="2B2B2B"/>
          <w:sz w:val="22"/>
        </w:rPr>
        <w:t>que el acceso abusivo a sus sistemas y la violación de datos personales son conductas penalmente</w:t>
      </w:r>
    </w:p>
    <w:p>
      <w:r>
        <w:rPr>
          <w:rFonts w:ascii="Calibri" w:hAnsi="Calibri"/>
          <w:b w:val="0"/>
          <w:color w:val="2B2B2B"/>
          <w:sz w:val="22"/>
        </w:rPr>
        <w:t>relevantes. La consecuencia práctica es una asimetría difícil de sostener: la obligación es</w:t>
      </w:r>
    </w:p>
    <w:p>
      <w:r>
        <w:rPr>
          <w:rFonts w:ascii="Calibri" w:hAnsi="Calibri"/>
          <w:b w:val="0"/>
          <w:color w:val="2B2B2B"/>
          <w:sz w:val="22"/>
        </w:rPr>
        <w:t>proporcionalmente enorme para la organización que menos capacidad tiene de cumplirla.</w:t>
      </w:r>
    </w:p>
    <w:p>
      <w:r>
        <w:rPr>
          <w:rFonts w:ascii="Calibri" w:hAnsi="Calibri"/>
          <w:b w:val="0"/>
          <w:color w:val="2B2B2B"/>
          <w:sz w:val="22"/>
        </w:rPr>
        <w:t>Esa capacidad falta de manera sistemática, y no por desinterés. El patrón que documenta el informe de</w:t>
      </w:r>
    </w:p>
    <w:p>
      <w:r>
        <w:rPr>
          <w:rFonts w:ascii="Calibri" w:hAnsi="Calibri"/>
          <w:b w:val="0"/>
          <w:color w:val="2B2B2B"/>
          <w:sz w:val="22"/>
        </w:rPr>
        <w:t>ENISA sobre pymes [1] describe organizaciones donde la seguridad de la información no es</w:t>
      </w:r>
    </w:p>
    <w:p>
      <w:r>
        <w:rPr>
          <w:rFonts w:ascii="Calibri" w:hAnsi="Calibri"/>
          <w:b w:val="0"/>
          <w:color w:val="2B2B2B"/>
          <w:sz w:val="22"/>
        </w:rPr>
        <w:t>responsabilidad de nadie en particular, donde no hay presupuesto asignado, donde el conocimiento técnico</w:t>
      </w:r>
    </w:p>
    <w:p>
      <w:r>
        <w:rPr>
          <w:rFonts w:ascii="Calibri" w:hAnsi="Calibri"/>
          <w:b w:val="0"/>
          <w:color w:val="2B2B2B"/>
          <w:sz w:val="22"/>
        </w:rPr>
        <w:t>está tercerizado en un proveedor que instaló el sistema hace años y donde las guías disponibles suponen</w:t>
      </w:r>
    </w:p>
    <w:p>
      <w:r>
        <w:rPr>
          <w:rFonts w:ascii="Calibri" w:hAnsi="Calibri"/>
          <w:b w:val="0"/>
          <w:color w:val="2B2B2B"/>
          <w:sz w:val="22"/>
        </w:rPr>
        <w:t>roles —oficial de seguridad, comité de riesgos, auditoría interna— que simplemente no existen. Los</w:t>
      </w:r>
    </w:p>
    <w:p>
      <w:r>
        <w:rPr>
          <w:rFonts w:ascii="Calibri" w:hAnsi="Calibri"/>
          <w:b w:val="0"/>
          <w:color w:val="2B2B2B"/>
          <w:sz w:val="22"/>
        </w:rPr>
        <w:t>marcos técnicos han reaccionado a esto: el NIST [2] permite graduar la implementación y el Center for</w:t>
      </w:r>
    </w:p>
    <w:p>
      <w:r>
        <w:rPr>
          <w:rFonts w:ascii="Calibri" w:hAnsi="Calibri"/>
          <w:b w:val="0"/>
          <w:color w:val="2B2B2B"/>
          <w:sz w:val="22"/>
        </w:rPr>
        <w:t>Internet Security [3] reserva un grupo de controles para organizaciones de capacidad limitada. Pero esos</w:t>
      </w:r>
    </w:p>
    <w:p>
      <w:r>
        <w:rPr>
          <w:rFonts w:ascii="Calibri" w:hAnsi="Calibri"/>
          <w:b w:val="0"/>
          <w:color w:val="2B2B2B"/>
          <w:sz w:val="22"/>
        </w:rPr>
        <w:t>instrumentos están redactados en inglés, con vocabulario técnico y con referencia a obligaciones que no</w:t>
      </w:r>
    </w:p>
    <w:p>
      <w:r>
        <w:rPr>
          <w:rFonts w:ascii="Calibri" w:hAnsi="Calibri"/>
          <w:b w:val="0"/>
          <w:color w:val="2B2B2B"/>
          <w:sz w:val="22"/>
        </w:rPr>
        <w:t>son las colombianas, y no resuelven la pregunta que un gerente de pyme hace primero: *de todo esto, qué</w:t>
      </w:r>
    </w:p>
    <w:p>
      <w:r>
        <w:rPr>
          <w:rFonts w:ascii="Calibri" w:hAnsi="Calibri"/>
          <w:b w:val="0"/>
          <w:color w:val="2B2B2B"/>
          <w:sz w:val="22"/>
        </w:rPr>
        <w:t>me exige la ley que me aplica y qué puedo hacer el lunes con lo que ya tengo.*</w:t>
      </w:r>
    </w:p>
    <w:p>
      <w:r>
        <w:rPr>
          <w:rFonts w:ascii="Calibri" w:hAnsi="Calibri"/>
          <w:b w:val="0"/>
          <w:color w:val="2B2B2B"/>
          <w:sz w:val="22"/>
        </w:rPr>
        <w:t>Sobre ese fondo se levanta un problema de conocimiento concreto y local: **no se sabe dónde están</w:t>
      </w:r>
    </w:p>
    <w:p>
      <w:r>
        <w:rPr>
          <w:rFonts w:ascii="Calibri" w:hAnsi="Calibri"/>
          <w:b w:val="0"/>
          <w:color w:val="2B2B2B"/>
          <w:sz w:val="22"/>
        </w:rPr>
        <w:t>paradas las pymes aliadas de la CUN.** No hay línea base. Sin diagnóstico, cualquier recomendación que</w:t>
      </w:r>
    </w:p>
    <w:p>
      <w:r>
        <w:rPr>
          <w:rFonts w:ascii="Calibri" w:hAnsi="Calibri"/>
          <w:b w:val="0"/>
          <w:color w:val="2B2B2B"/>
          <w:sz w:val="22"/>
        </w:rPr>
        <w:t>la institución les ofrezca es genérica —el equivalente a entregarles la norma ISO/IEC 27001 [4] y desear</w:t>
      </w:r>
    </w:p>
    <w:p>
      <w:r>
        <w:rPr>
          <w:rFonts w:ascii="Calibri" w:hAnsi="Calibri"/>
          <w:b w:val="0"/>
          <w:color w:val="2B2B2B"/>
          <w:sz w:val="22"/>
        </w:rPr>
        <w:t>suerte— y no hay forma de saber si lo que falta es una política escrita, una gestión mínima de</w:t>
      </w:r>
    </w:p>
    <w:p>
      <w:r>
        <w:rPr>
          <w:rFonts w:ascii="Calibri" w:hAnsi="Calibri"/>
          <w:b w:val="0"/>
          <w:color w:val="2B2B2B"/>
          <w:sz w:val="22"/>
        </w:rPr>
        <w:t>contraseñas y respaldos, o control de quién accede a qué. Tres consecuencias se derivan de esa ausencia.</w:t>
      </w:r>
    </w:p>
    <w:p>
      <w:r>
        <w:rPr>
          <w:rFonts w:ascii="Calibri" w:hAnsi="Calibri"/>
          <w:b w:val="0"/>
          <w:color w:val="2B2B2B"/>
          <w:sz w:val="22"/>
        </w:rPr>
        <w:t xml:space="preserve">La primera es que </w:t>
      </w:r>
      <w:r>
        <w:rPr>
          <w:rFonts w:ascii="Calibri" w:hAnsi="Calibri"/>
          <w:b/>
          <w:color w:val="2B2B2B"/>
          <w:sz w:val="22"/>
        </w:rPr>
        <w:t>las intervenciones se diseñan a ciegas</w:t>
      </w:r>
      <w:r>
        <w:rPr>
          <w:rFonts w:ascii="Calibri" w:hAnsi="Calibri"/>
          <w:b w:val="0"/>
          <w:color w:val="2B2B2B"/>
          <w:sz w:val="22"/>
        </w:rPr>
        <w:t>, priorizando lo que el asesor conoce y no</w:t>
      </w:r>
    </w:p>
    <w:p>
      <w:r>
        <w:rPr>
          <w:rFonts w:ascii="Calibri" w:hAnsi="Calibri"/>
          <w:b w:val="0"/>
          <w:color w:val="2B2B2B"/>
          <w:sz w:val="22"/>
        </w:rPr>
        <w:t xml:space="preserve">lo que la organización necesita. La segunda es que </w:t>
      </w:r>
      <w:r>
        <w:rPr>
          <w:rFonts w:ascii="Calibri" w:hAnsi="Calibri"/>
          <w:b/>
          <w:color w:val="2B2B2B"/>
          <w:sz w:val="22"/>
        </w:rPr>
        <w:t>no se puede medir mejora</w:t>
      </w:r>
      <w:r>
        <w:rPr>
          <w:rFonts w:ascii="Calibri" w:hAnsi="Calibri"/>
          <w:b w:val="0"/>
          <w:color w:val="2B2B2B"/>
          <w:sz w:val="22"/>
        </w:rPr>
        <w:t>, porque no hay punto de</w:t>
      </w:r>
    </w:p>
    <w:p>
      <w:r>
        <w:rPr>
          <w:rFonts w:ascii="Calibri" w:hAnsi="Calibri"/>
          <w:b w:val="0"/>
          <w:color w:val="2B2B2B"/>
          <w:sz w:val="22"/>
        </w:rPr>
        <w:t xml:space="preserve">partida contra el cual comparar. La tercera es que </w:t>
      </w:r>
      <w:r>
        <w:rPr>
          <w:rFonts w:ascii="Calibri" w:hAnsi="Calibri"/>
          <w:b/>
          <w:color w:val="2B2B2B"/>
          <w:sz w:val="22"/>
        </w:rPr>
        <w:t>la institución no puede acreditar impacto</w:t>
      </w:r>
      <w:r>
        <w:rPr>
          <w:rFonts w:ascii="Calibri" w:hAnsi="Calibri"/>
          <w:b w:val="0"/>
          <w:color w:val="2B2B2B"/>
          <w:sz w:val="22"/>
        </w:rPr>
        <w:t xml:space="preserve"> de su</w:t>
      </w:r>
    </w:p>
    <w:p>
      <w:r>
        <w:rPr>
          <w:rFonts w:ascii="Calibri" w:hAnsi="Calibri"/>
          <w:b w:val="0"/>
          <w:color w:val="2B2B2B"/>
          <w:sz w:val="22"/>
        </w:rPr>
        <w:t>relacionamiento con el sector externo más allá de la existencia del convenio.</w:t>
      </w:r>
    </w:p>
    <w:p>
      <w:r>
        <w:rPr>
          <w:rFonts w:ascii="Calibri" w:hAnsi="Calibri"/>
          <w:b w:val="0"/>
          <w:color w:val="2B2B2B"/>
          <w:sz w:val="22"/>
        </w:rPr>
        <w:t>Hay además una limitación inherente a cualquier diagnóstico basado en autoevaluación, y conviene</w:t>
      </w:r>
    </w:p>
    <w:p>
      <w:r>
        <w:rPr>
          <w:rFonts w:ascii="Calibri" w:hAnsi="Calibri"/>
          <w:b w:val="0"/>
          <w:color w:val="2B2B2B"/>
          <w:sz w:val="22"/>
        </w:rPr>
        <w:t>declararla como parte del problema y no esconderla: **lo que una organización dice que hace y lo que sus</w:t>
      </w:r>
    </w:p>
    <w:p>
      <w:r>
        <w:rPr>
          <w:rFonts w:ascii="Calibri" w:hAnsi="Calibri"/>
          <w:b w:val="0"/>
          <w:color w:val="2B2B2B"/>
          <w:sz w:val="22"/>
        </w:rPr>
        <w:t>sistemas registran pueden diferir.** Un cuestionario bien construido detecta la ausencia de una política</w:t>
      </w:r>
    </w:p>
    <w:p>
      <w:r>
        <w:rPr>
          <w:rFonts w:ascii="Calibri" w:hAnsi="Calibri"/>
          <w:b w:val="0"/>
          <w:color w:val="2B2B2B"/>
          <w:sz w:val="22"/>
        </w:rPr>
        <w:t>o de un procedimiento de respaldo, pero no detecta que tres cuentas comparten credenciales, que un</w:t>
      </w:r>
    </w:p>
    <w:p>
      <w:r>
        <w:rPr>
          <w:rFonts w:ascii="Calibri" w:hAnsi="Calibri"/>
          <w:b w:val="0"/>
          <w:color w:val="2B2B2B"/>
          <w:sz w:val="22"/>
        </w:rPr>
        <w:t>usuario retirado sigue teniendo acceso o que hay descargas masivas de una base de clientes fuera del</w:t>
      </w:r>
    </w:p>
    <w:p>
      <w:r>
        <w:rPr>
          <w:rFonts w:ascii="Calibri" w:hAnsi="Calibri"/>
          <w:b w:val="0"/>
          <w:color w:val="2B2B2B"/>
          <w:sz w:val="22"/>
        </w:rPr>
        <w:t>horario de operación. Esa clase de hallazgo está en los registros de acceso, no en las respuestas del</w:t>
      </w:r>
    </w:p>
    <w:p>
      <w:r>
        <w:rPr>
          <w:rFonts w:ascii="Calibri" w:hAnsi="Calibri"/>
          <w:b w:val="0"/>
          <w:color w:val="2B2B2B"/>
          <w:sz w:val="22"/>
        </w:rPr>
        <w:t>gerente. De ahí la necesidad de un segundo procedimiento, de naturaleza distinta: un análisis de los</w:t>
      </w:r>
    </w:p>
    <w:p>
      <w:r>
        <w:rPr>
          <w:rFonts w:ascii="Calibri" w:hAnsi="Calibri"/>
          <w:b w:val="0"/>
          <w:color w:val="2B2B2B"/>
          <w:sz w:val="22"/>
        </w:rPr>
        <w:t>registros que la organización ya produce y casi nunca revisa. Y como ninguna pyme del estudio dispone de</w:t>
      </w:r>
    </w:p>
    <w:p>
      <w:r>
        <w:rPr>
          <w:rFonts w:ascii="Calibri" w:hAnsi="Calibri"/>
          <w:b w:val="0"/>
          <w:color w:val="2B2B2B"/>
          <w:sz w:val="22"/>
        </w:rPr>
        <w:t xml:space="preserve">un histórico etiquetado de incidentes, el procedimiento debe ser </w:t>
      </w:r>
      <w:r>
        <w:rPr>
          <w:rFonts w:ascii="Calibri" w:hAnsi="Calibri"/>
          <w:b/>
          <w:color w:val="2B2B2B"/>
          <w:sz w:val="22"/>
        </w:rPr>
        <w:t>no supervisado</w:t>
      </w:r>
      <w:r>
        <w:rPr>
          <w:rFonts w:ascii="Calibri" w:hAnsi="Calibri"/>
          <w:b w:val="0"/>
          <w:color w:val="2B2B2B"/>
          <w:sz w:val="22"/>
        </w:rPr>
        <w:t xml:space="preserve"> [10], [11] —lo que</w:t>
      </w:r>
    </w:p>
    <w:p>
      <w:r>
        <w:rPr>
          <w:rFonts w:ascii="Calibri" w:hAnsi="Calibri"/>
          <w:b w:val="0"/>
          <w:color w:val="2B2B2B"/>
          <w:sz w:val="22"/>
        </w:rPr>
        <w:t>introduce a su vez su propia dificultad, la de no poder demostrar desempeño sin un conjunto de</w:t>
      </w:r>
    </w:p>
    <w:p>
      <w:r>
        <w:rPr>
          <w:rFonts w:ascii="Calibri" w:hAnsi="Calibri"/>
          <w:b w:val="0"/>
          <w:color w:val="2B2B2B"/>
          <w:sz w:val="22"/>
        </w:rPr>
        <w:t>referencia, que el diseño resuelve inyectando anomalías conocidas en registros sintéticos.</w:t>
      </w:r>
    </w:p>
    <w:p>
      <w:r>
        <w:rPr>
          <w:rFonts w:ascii="Calibri" w:hAnsi="Calibri"/>
          <w:b w:val="0"/>
          <w:color w:val="2B2B2B"/>
          <w:sz w:val="22"/>
        </w:rPr>
        <w:t>Finalmente, un riesgo nuevo se superpone a los anteriores y hoy no aparece en ninguna lista de</w:t>
      </w:r>
    </w:p>
    <w:p>
      <w:r>
        <w:rPr>
          <w:rFonts w:ascii="Calibri" w:hAnsi="Calibri"/>
          <w:b w:val="0"/>
          <w:color w:val="2B2B2B"/>
          <w:sz w:val="22"/>
        </w:rPr>
        <w:t>verificación de seguridad tradicional: el personal de organizaciones pequeñas ha empezado a usar</w:t>
      </w:r>
    </w:p>
    <w:p>
      <w:r>
        <w:rPr>
          <w:rFonts w:ascii="Calibri" w:hAnsi="Calibri"/>
          <w:b w:val="0"/>
          <w:color w:val="2B2B2B"/>
          <w:sz w:val="22"/>
        </w:rPr>
        <w:t>asistentes de IA generativa comerciales para tareas administrativas cotidianas, y al hacerlo transfiere</w:t>
      </w:r>
    </w:p>
    <w:p>
      <w:r>
        <w:rPr>
          <w:rFonts w:ascii="Calibri" w:hAnsi="Calibri"/>
          <w:b w:val="0"/>
          <w:color w:val="2B2B2B"/>
          <w:sz w:val="22"/>
        </w:rPr>
        <w:t>datos personales de clientes y empleados a infraestructura de terceros, sin autorización de los</w:t>
      </w:r>
    </w:p>
    <w:p>
      <w:r>
        <w:rPr>
          <w:rFonts w:ascii="Calibri" w:hAnsi="Calibri"/>
          <w:b w:val="0"/>
          <w:color w:val="2B2B2B"/>
          <w:sz w:val="22"/>
        </w:rPr>
        <w:t>titulares, sin evaluar los términos del proveedor y sin registro alguno de la transferencia. Es</w:t>
      </w:r>
    </w:p>
    <w:p>
      <w:r>
        <w:rPr>
          <w:rFonts w:ascii="Calibri" w:hAnsi="Calibri"/>
          <w:b w:val="0"/>
          <w:color w:val="2B2B2B"/>
          <w:sz w:val="22"/>
        </w:rPr>
        <w:t>tratamiento de datos personales por un tercero, con las obligaciones que eso implica, ocurriendo de</w:t>
      </w:r>
    </w:p>
    <w:p>
      <w:r>
        <w:rPr>
          <w:rFonts w:ascii="Calibri" w:hAnsi="Calibri"/>
          <w:b w:val="0"/>
          <w:color w:val="2B2B2B"/>
          <w:sz w:val="22"/>
        </w:rPr>
        <w:t>manera invisible. Un modelo de buenas prácticas formulado en 2026 que no lo aborde estaría desactualizado</w:t>
      </w:r>
    </w:p>
    <w:p>
      <w:r>
        <w:rPr>
          <w:rFonts w:ascii="Calibri" w:hAnsi="Calibri"/>
          <w:b w:val="0"/>
          <w:color w:val="2B2B2B"/>
          <w:sz w:val="22"/>
        </w:rPr>
        <w:t>el día en que se entrega.</w:t>
      </w:r>
    </w:p>
    <w:p>
      <w:pPr>
        <w:spacing w:before="200" w:after="60"/>
      </w:pPr>
      <w:r>
        <w:rPr>
          <w:rFonts w:ascii="Calibri" w:hAnsi="Calibri"/>
          <w:b/>
          <w:color w:val="007433"/>
          <w:sz w:val="32"/>
        </w:rPr>
        <w:t>Formulación del problema de investigación</w:t>
      </w:r>
    </w:p>
    <w:p>
      <w:r>
        <w:rPr>
          <w:rFonts w:ascii="Calibri" w:hAnsi="Calibri"/>
          <w:b/>
          <w:color w:val="2B2B2B"/>
          <w:sz w:val="22"/>
        </w:rPr>
        <w:t>Pregunta central:</w:t>
      </w:r>
      <w:r>
        <w:rPr>
          <w:rFonts w:ascii="Calibri" w:hAnsi="Calibri"/>
          <w:b w:val="0"/>
          <w:color w:val="2B2B2B"/>
          <w:sz w:val="22"/>
        </w:rPr>
        <w:t xml:space="preserve"> ¿cuál es el nivel de madurez en protección de datos personales y ciberseguridad de</w:t>
      </w:r>
    </w:p>
    <w:p>
      <w:r>
        <w:rPr>
          <w:rFonts w:ascii="Calibri" w:hAnsi="Calibri"/>
          <w:b w:val="0"/>
          <w:color w:val="2B2B2B"/>
          <w:sz w:val="22"/>
        </w:rPr>
        <w:t>las pymes aliadas de la CUN, medido con un instrumento ajustado a su escala y derivado del marco</w:t>
      </w:r>
    </w:p>
    <w:p>
      <w:r>
        <w:rPr>
          <w:rFonts w:ascii="Calibri" w:hAnsi="Calibri"/>
          <w:b w:val="0"/>
          <w:color w:val="2B2B2B"/>
          <w:sz w:val="22"/>
        </w:rPr>
        <w:t>normativo colombiano y de los controles internacionales de referencia, y qué modelo de buenas prácticas</w:t>
      </w:r>
    </w:p>
    <w:p>
      <w:r>
        <w:rPr>
          <w:rFonts w:ascii="Calibri" w:hAnsi="Calibri"/>
          <w:b w:val="0"/>
          <w:color w:val="2B2B2B"/>
          <w:sz w:val="22"/>
        </w:rPr>
        <w:t>—verificable, aplicable con sus propios recursos y complementado con detección automática de anomalías en</w:t>
      </w:r>
    </w:p>
    <w:p>
      <w:r>
        <w:rPr>
          <w:rFonts w:ascii="Calibri" w:hAnsi="Calibri"/>
          <w:b w:val="0"/>
          <w:color w:val="2B2B2B"/>
          <w:sz w:val="22"/>
        </w:rPr>
        <w:t>sus registros de acceso— responde a las brechas que ese diagnóstico revele?</w:t>
      </w:r>
    </w:p>
    <w:p>
      <w:r>
        <w:rPr>
          <w:rFonts w:ascii="Calibri" w:hAnsi="Calibri"/>
          <w:b w:val="0"/>
          <w:color w:val="2B2B2B"/>
          <w:sz w:val="22"/>
        </w:rPr>
        <w:t>Preguntas derivadas, una por objetivo específico:</w:t>
      </w:r>
    </w:p>
    <w:p>
      <w:pPr>
        <w:pStyle w:val="ListNumber"/>
      </w:pPr>
      <w:r>
        <w:rPr>
          <w:rFonts w:ascii="Calibri" w:hAnsi="Calibri"/>
          <w:b w:val="0"/>
          <w:color w:val="2B2B2B"/>
          <w:sz w:val="22"/>
        </w:rPr>
        <w:t>¿Qué deberes del marco normativo colombiano de protección de datos personales y qué controles de</w:t>
      </w:r>
    </w:p>
    <w:p>
      <w:r>
        <w:rPr>
          <w:rFonts w:ascii="Calibri" w:hAnsi="Calibri"/>
          <w:b w:val="0"/>
          <w:color w:val="2B2B2B"/>
          <w:sz w:val="22"/>
        </w:rPr>
        <w:t>seguridad de la información pueden formularse como ítems verificables en una visita corta a una</w:t>
      </w:r>
    </w:p>
    <w:p>
      <w:r>
        <w:rPr>
          <w:rFonts w:ascii="Calibri" w:hAnsi="Calibri"/>
          <w:b w:val="0"/>
          <w:color w:val="2B2B2B"/>
          <w:sz w:val="22"/>
        </w:rPr>
        <w:t>organización pequeña, y qué nivel de acuerdo entre calificadores independientes alcanza el instrumento</w:t>
      </w:r>
    </w:p>
    <w:p>
      <w:r>
        <w:rPr>
          <w:rFonts w:ascii="Calibri" w:hAnsi="Calibri"/>
          <w:b w:val="0"/>
          <w:color w:val="2B2B2B"/>
          <w:sz w:val="22"/>
        </w:rPr>
        <w:t>resultante?</w:t>
      </w:r>
    </w:p>
    <w:p>
      <w:pPr>
        <w:pStyle w:val="ListNumber"/>
      </w:pPr>
      <w:r>
        <w:rPr>
          <w:rFonts w:ascii="Calibri" w:hAnsi="Calibri"/>
          <w:b w:val="0"/>
          <w:color w:val="2B2B2B"/>
          <w:sz w:val="22"/>
        </w:rPr>
        <w:t>¿Cuál es el nivel de madurez de las organizaciones participantes por dimensión del instrumento, qué</w:t>
      </w:r>
    </w:p>
    <w:p>
      <w:r>
        <w:rPr>
          <w:rFonts w:ascii="Calibri" w:hAnsi="Calibri"/>
          <w:b w:val="0"/>
          <w:color w:val="2B2B2B"/>
          <w:sz w:val="22"/>
        </w:rPr>
        <w:t>brechas son comunes a todas y cuáles son específicas, y qué recomendaciones califican sus propios</w:t>
      </w:r>
    </w:p>
    <w:p>
      <w:r>
        <w:rPr>
          <w:rFonts w:ascii="Calibri" w:hAnsi="Calibri"/>
          <w:b w:val="0"/>
          <w:color w:val="2B2B2B"/>
          <w:sz w:val="22"/>
        </w:rPr>
        <w:t>representantes como aplicables con los recursos que tienen?</w:t>
      </w:r>
    </w:p>
    <w:p>
      <w:pPr>
        <w:pStyle w:val="ListNumber"/>
      </w:pPr>
      <w:r>
        <w:rPr>
          <w:rFonts w:ascii="Calibri" w:hAnsi="Calibri"/>
          <w:b w:val="0"/>
          <w:color w:val="2B2B2B"/>
          <w:sz w:val="22"/>
        </w:rPr>
        <w:t>¿Puede un detector no supervisado de anomalías identificar, en registros de acceso de estructura</w:t>
      </w:r>
    </w:p>
    <w:p>
      <w:r>
        <w:rPr>
          <w:rFonts w:ascii="Calibri" w:hAnsi="Calibri"/>
          <w:b w:val="0"/>
          <w:color w:val="2B2B2B"/>
          <w:sz w:val="22"/>
        </w:rPr>
        <w:t>equivalente a los de estas organizaciones, anomalías inyectadas de referencia conocida, con una tasa</w:t>
      </w:r>
    </w:p>
    <w:p>
      <w:r>
        <w:rPr>
          <w:rFonts w:ascii="Calibri" w:hAnsi="Calibri"/>
          <w:b w:val="0"/>
          <w:color w:val="2B2B2B"/>
          <w:sz w:val="22"/>
        </w:rPr>
        <w:t>de falsos positivos manejable por una organización sin personal dedicado a seguridad, y aporta algo</w:t>
      </w:r>
    </w:p>
    <w:p>
      <w:r>
        <w:rPr>
          <w:rFonts w:ascii="Calibri" w:hAnsi="Calibri"/>
          <w:b w:val="0"/>
          <w:color w:val="2B2B2B"/>
          <w:sz w:val="22"/>
        </w:rPr>
        <w:t>por encima de un detector estadístico de referencia basado en reglas simples?</w:t>
      </w:r>
    </w:p>
    <w:p>
      <w:pPr>
        <w:spacing w:before="200" w:after="60"/>
      </w:pPr>
      <w:r>
        <w:rPr>
          <w:rFonts w:ascii="Calibri" w:hAnsi="Calibri"/>
          <w:b/>
          <w:color w:val="007433"/>
          <w:sz w:val="32"/>
        </w:rPr>
        <w:t>Justificación</w:t>
      </w:r>
    </w:p>
    <w:p>
      <w:r>
        <w:rPr>
          <w:rFonts w:ascii="Calibri" w:hAnsi="Calibri"/>
          <w:b/>
          <w:color w:val="2B2B2B"/>
          <w:sz w:val="22"/>
        </w:rPr>
        <w:t>Para las organizaciones participantes.</w:t>
      </w:r>
      <w:r>
        <w:rPr>
          <w:rFonts w:ascii="Calibri" w:hAnsi="Calibri"/>
          <w:b w:val="0"/>
          <w:color w:val="2B2B2B"/>
          <w:sz w:val="22"/>
        </w:rPr>
        <w:t xml:space="preserve"> Reciben algo que el mercado les vende a un precio que no</w:t>
      </w:r>
    </w:p>
    <w:p>
      <w:r>
        <w:rPr>
          <w:rFonts w:ascii="Calibri" w:hAnsi="Calibri"/>
          <w:b w:val="0"/>
          <w:color w:val="2B2B2B"/>
          <w:sz w:val="22"/>
        </w:rPr>
        <w:t>pueden pagar: un diagnóstico estructurado de su situación frente a la ley que las obliga, y un protocolo</w:t>
      </w:r>
    </w:p>
    <w:p>
      <w:r>
        <w:rPr>
          <w:rFonts w:ascii="Calibri" w:hAnsi="Calibri"/>
          <w:b w:val="0"/>
          <w:color w:val="2B2B2B"/>
          <w:sz w:val="22"/>
        </w:rPr>
        <w:t>de acciones ordenado por lo que pueden hacer con su propia infraestructura. No reciben una auditoría</w:t>
      </w:r>
    </w:p>
    <w:p>
      <w:r>
        <w:rPr>
          <w:rFonts w:ascii="Calibri" w:hAnsi="Calibri"/>
          <w:b w:val="0"/>
          <w:color w:val="2B2B2B"/>
          <w:sz w:val="22"/>
        </w:rPr>
        <w:t>certificada ni un dictamen de cumplimiento —eso se declara con claridad en el alcance y por escrito ante</w:t>
      </w:r>
    </w:p>
    <w:p>
      <w:r>
        <w:rPr>
          <w:rFonts w:ascii="Calibri" w:hAnsi="Calibri"/>
          <w:b w:val="0"/>
          <w:color w:val="2B2B2B"/>
          <w:sz w:val="22"/>
        </w:rPr>
        <w:t>cada organización—, pero sí el mapa que hoy no tienen. El diseño se cuida además de no cobrarles el favor</w:t>
      </w:r>
    </w:p>
    <w:p>
      <w:r>
        <w:rPr>
          <w:rFonts w:ascii="Calibri" w:hAnsi="Calibri"/>
          <w:b w:val="0"/>
          <w:color w:val="2B2B2B"/>
          <w:sz w:val="22"/>
        </w:rPr>
        <w:t>en datos: no se les pide información personal real de sus clientes, lo que elimina la fricción que haría</w:t>
      </w:r>
    </w:p>
    <w:p>
      <w:r>
        <w:rPr>
          <w:rFonts w:ascii="Calibri" w:hAnsi="Calibri"/>
          <w:b w:val="0"/>
          <w:color w:val="2B2B2B"/>
          <w:sz w:val="22"/>
        </w:rPr>
        <w:t>inviable el estudio.</w:t>
      </w:r>
    </w:p>
    <w:p>
      <w:r>
        <w:rPr>
          <w:rFonts w:ascii="Calibri" w:hAnsi="Calibri"/>
          <w:b/>
          <w:color w:val="2B2B2B"/>
          <w:sz w:val="22"/>
        </w:rPr>
        <w:t>Para la institución.</w:t>
      </w:r>
      <w:r>
        <w:rPr>
          <w:rFonts w:ascii="Calibri" w:hAnsi="Calibri"/>
          <w:b w:val="0"/>
          <w:color w:val="2B2B2B"/>
          <w:sz w:val="22"/>
        </w:rPr>
        <w:t xml:space="preserve"> La CUN convierte un relacionamiento administrativo en evidencia investigativa</w:t>
      </w:r>
    </w:p>
    <w:p>
      <w:r>
        <w:rPr>
          <w:rFonts w:ascii="Calibri" w:hAnsi="Calibri"/>
          <w:b w:val="0"/>
          <w:color w:val="2B2B2B"/>
          <w:sz w:val="22"/>
        </w:rPr>
        <w:t>y en productos reutilizables: un instrumento validado, una línea base, un modelo de buenas prácticas y</w:t>
      </w:r>
    </w:p>
    <w:p>
      <w:r>
        <w:rPr>
          <w:rFonts w:ascii="Calibri" w:hAnsi="Calibri"/>
          <w:b w:val="0"/>
          <w:color w:val="2B2B2B"/>
          <w:sz w:val="22"/>
        </w:rPr>
        <w:t>una cartilla. El numeral 3 de los Términos de Referencia pide exactamente esto —"acciones concretas a ser</w:t>
      </w:r>
    </w:p>
    <w:p>
      <w:r>
        <w:rPr>
          <w:rFonts w:ascii="Calibri" w:hAnsi="Calibri"/>
          <w:b w:val="0"/>
          <w:color w:val="2B2B2B"/>
          <w:sz w:val="22"/>
        </w:rPr>
        <w:t>desarrolladas con la participación y/o vinculación activa de organizaciones de la sociedad civil o del</w:t>
      </w:r>
    </w:p>
    <w:p>
      <w:r>
        <w:rPr>
          <w:rFonts w:ascii="Calibri" w:hAnsi="Calibri"/>
          <w:b w:val="0"/>
          <w:color w:val="2B2B2B"/>
          <w:sz w:val="22"/>
        </w:rPr>
        <w:t>sector empresarial"— y el numeral 7 prioriza productos entregables en aproximadamente tres meses, que es</w:t>
      </w:r>
    </w:p>
    <w:p>
      <w:r>
        <w:rPr>
          <w:rFonts w:ascii="Calibri" w:hAnsi="Calibri"/>
          <w:b w:val="0"/>
          <w:color w:val="2B2B2B"/>
          <w:sz w:val="22"/>
        </w:rPr>
        <w:t>el plazo en el que este diseño cierra. El costo es bajo en relación con el techo de la convocatoria y no</w:t>
      </w:r>
    </w:p>
    <w:p>
      <w:r>
        <w:rPr>
          <w:rFonts w:ascii="Calibri" w:hAnsi="Calibri"/>
          <w:b w:val="0"/>
          <w:color w:val="2B2B2B"/>
          <w:sz w:val="22"/>
        </w:rPr>
        <w:t>financia desarrollo de software ni licencias comerciales.</w:t>
      </w:r>
    </w:p>
    <w:p>
      <w:r>
        <w:rPr>
          <w:rFonts w:ascii="Calibri" w:hAnsi="Calibri"/>
          <w:b/>
          <w:color w:val="2B2B2B"/>
          <w:sz w:val="22"/>
        </w:rPr>
        <w:t>Para la práctica profesional y la docencia.</w:t>
      </w:r>
      <w:r>
        <w:rPr>
          <w:rFonts w:ascii="Calibri" w:hAnsi="Calibri"/>
          <w:b w:val="0"/>
          <w:color w:val="2B2B2B"/>
          <w:sz w:val="22"/>
        </w:rPr>
        <w:t xml:space="preserve"> El resultado, sea cual sea, es utilizable. Si el</w:t>
      </w:r>
    </w:p>
    <w:p>
      <w:r>
        <w:rPr>
          <w:rFonts w:ascii="Calibri" w:hAnsi="Calibri"/>
          <w:b w:val="0"/>
          <w:color w:val="2B2B2B"/>
          <w:sz w:val="22"/>
        </w:rPr>
        <w:t>diagnóstico revela madurez baja y brechas comunes, la institución tiene un argumento documentado para</w:t>
      </w:r>
    </w:p>
    <w:p>
      <w:r>
        <w:rPr>
          <w:rFonts w:ascii="Calibri" w:hAnsi="Calibri"/>
          <w:b w:val="0"/>
          <w:color w:val="2B2B2B"/>
          <w:sz w:val="22"/>
        </w:rPr>
        <w:t>articular una línea de trabajo continuada con su tejido productivo. Si revela una madurez mayor que la</w:t>
      </w:r>
    </w:p>
    <w:p>
      <w:r>
        <w:rPr>
          <w:rFonts w:ascii="Calibri" w:hAnsi="Calibri"/>
          <w:b w:val="0"/>
          <w:color w:val="2B2B2B"/>
          <w:sz w:val="22"/>
        </w:rPr>
        <w:t>esperada, el resultado también es valioso: corrige un supuesto extendido y reorienta el esfuerzo hacia</w:t>
      </w:r>
    </w:p>
    <w:p>
      <w:r>
        <w:rPr>
          <w:rFonts w:ascii="Calibri" w:hAnsi="Calibri"/>
          <w:b w:val="0"/>
          <w:color w:val="2B2B2B"/>
          <w:sz w:val="22"/>
        </w:rPr>
        <w:t>las brechas que sí existan. Y si el prototipo de detección de anomalías no supera al detector de</w:t>
      </w:r>
    </w:p>
    <w:p>
      <w:r>
        <w:rPr>
          <w:rFonts w:ascii="Calibri" w:hAnsi="Calibri"/>
          <w:b w:val="0"/>
          <w:color w:val="2B2B2B"/>
          <w:sz w:val="22"/>
        </w:rPr>
        <w:t>referencia basado en reglas simples, ese hallazgo negativo es publicable y útil, porque acota</w:t>
      </w:r>
    </w:p>
    <w:p>
      <w:r>
        <w:rPr>
          <w:rFonts w:ascii="Calibri" w:hAnsi="Calibri"/>
          <w:b w:val="0"/>
          <w:color w:val="2B2B2B"/>
          <w:sz w:val="22"/>
        </w:rPr>
        <w:t>honestamente lo que el aprendizaje automático aporta a esta escala de organización, en un momento en que</w:t>
      </w:r>
    </w:p>
    <w:p>
      <w:r>
        <w:rPr>
          <w:rFonts w:ascii="Calibri" w:hAnsi="Calibri"/>
          <w:b w:val="0"/>
          <w:color w:val="2B2B2B"/>
          <w:sz w:val="22"/>
        </w:rPr>
        <w:t>se le atribuye capacidad de resolver cualquier cosa. Un diseño que solo pudiera confirmar la expectativa</w:t>
      </w:r>
    </w:p>
    <w:p>
      <w:r>
        <w:rPr>
          <w:rFonts w:ascii="Calibri" w:hAnsi="Calibri"/>
          <w:b w:val="0"/>
          <w:color w:val="2B2B2B"/>
          <w:sz w:val="22"/>
        </w:rPr>
        <w:t>del investigador no serviría; por eso los umbrales de refutación se fijan por adelantado en el apartado</w:t>
      </w:r>
    </w:p>
    <w:p>
      <w:r>
        <w:rPr>
          <w:rFonts w:ascii="Calibri" w:hAnsi="Calibri"/>
          <w:b w:val="0"/>
          <w:color w:val="2B2B2B"/>
          <w:sz w:val="22"/>
        </w:rPr>
        <w:t>de hipótesis. Adicionalmente, el material producido alimenta directamente la docencia: casos reales</w:t>
      </w:r>
    </w:p>
    <w:p>
      <w:r>
        <w:rPr>
          <w:rFonts w:ascii="Calibri" w:hAnsi="Calibri"/>
          <w:b w:val="0"/>
          <w:color w:val="2B2B2B"/>
          <w:sz w:val="22"/>
        </w:rPr>
        <w:t>anonimizados para asignaturas de seguridad de la información y de formación investigativa, y un cuaderno</w:t>
      </w:r>
    </w:p>
    <w:p>
      <w:r>
        <w:rPr>
          <w:rFonts w:ascii="Calibri" w:hAnsi="Calibri"/>
          <w:b w:val="0"/>
          <w:color w:val="2B2B2B"/>
          <w:sz w:val="22"/>
        </w:rPr>
        <w:t>de detección de anomalías para la Especialización en Inteligencia Artificial.</w:t>
      </w:r>
    </w:p>
    <w:p>
      <w:r>
        <w:rPr>
          <w:rFonts w:ascii="Calibri" w:hAnsi="Calibri"/>
          <w:b/>
          <w:color w:val="2B2B2B"/>
          <w:sz w:val="22"/>
        </w:rPr>
        <w:t>Desde el rol del investigador.</w:t>
      </w:r>
      <w:r>
        <w:rPr>
          <w:rFonts w:ascii="Calibri" w:hAnsi="Calibri"/>
          <w:b w:val="0"/>
          <w:color w:val="2B2B2B"/>
          <w:sz w:val="22"/>
        </w:rPr>
        <w:t xml:space="preserve"> Como docente de Ingeniería de Sistemas y de la Especialización en</w:t>
      </w:r>
    </w:p>
    <w:p>
      <w:r>
        <w:rPr>
          <w:rFonts w:ascii="Calibri" w:hAnsi="Calibri"/>
          <w:b w:val="0"/>
          <w:color w:val="2B2B2B"/>
          <w:sz w:val="22"/>
        </w:rPr>
        <w:t>Inteligencia Artificial, el investigador enseña a evaluar sistemas con evidencia y no con expectativa.</w:t>
      </w:r>
    </w:p>
    <w:p>
      <w:r>
        <w:rPr>
          <w:rFonts w:ascii="Calibri" w:hAnsi="Calibri"/>
          <w:b w:val="0"/>
          <w:color w:val="2B2B2B"/>
          <w:sz w:val="22"/>
        </w:rPr>
        <w:t>Aplicar ese criterio a una técnica de moda —comparándola contra una línea base trivial en lugar de</w:t>
      </w:r>
    </w:p>
    <w:p>
      <w:r>
        <w:rPr>
          <w:rFonts w:ascii="Calibri" w:hAnsi="Calibri"/>
          <w:b w:val="0"/>
          <w:color w:val="2B2B2B"/>
          <w:sz w:val="22"/>
        </w:rPr>
        <w:t>presentarla como solución— es la aplicación consistente de lo que enseña.</w:t>
      </w:r>
    </w:p>
    <w:p>
      <w:pPr>
        <w:spacing w:before="200" w:after="60"/>
      </w:pPr>
      <w:r>
        <w:rPr>
          <w:rFonts w:ascii="Calibri" w:hAnsi="Calibri"/>
          <w:b/>
          <w:color w:val="007433"/>
          <w:sz w:val="32"/>
        </w:rPr>
        <w:t>Alcance de la propuesta</w:t>
      </w:r>
    </w:p>
    <w:p>
      <w:r>
        <w:rPr>
          <w:rFonts w:ascii="Calibri" w:hAnsi="Calibri"/>
          <w:b/>
          <w:color w:val="2B2B2B"/>
          <w:sz w:val="22"/>
        </w:rPr>
        <w:t>Inicio y fin.</w:t>
      </w:r>
      <w:r>
        <w:rPr>
          <w:rFonts w:ascii="Calibri" w:hAnsi="Calibri"/>
          <w:b w:val="0"/>
          <w:color w:val="2B2B2B"/>
          <w:sz w:val="22"/>
        </w:rPr>
        <w:t xml:space="preserve"> El estudio inicia con la formalización del acceso a las organizaciones y la</w:t>
      </w:r>
    </w:p>
    <w:p>
      <w:r>
        <w:rPr>
          <w:rFonts w:ascii="Calibri" w:hAnsi="Calibri"/>
          <w:b w:val="0"/>
          <w:color w:val="2B2B2B"/>
          <w:sz w:val="22"/>
        </w:rPr>
        <w:t>construcción de la matriz de correspondencia normativa (Semana 1) y termina con la entrega del</w:t>
      </w:r>
    </w:p>
    <w:p>
      <w:r>
        <w:rPr>
          <w:rFonts w:ascii="Calibri" w:hAnsi="Calibri"/>
          <w:b w:val="0"/>
          <w:color w:val="2B2B2B"/>
          <w:sz w:val="22"/>
        </w:rPr>
        <w:t>instrumento validado, el informe de diagnóstico, el modelo de buenas prácticas, la cartilla y el</w:t>
      </w:r>
    </w:p>
    <w:p>
      <w:r>
        <w:rPr>
          <w:rFonts w:ascii="Calibri" w:hAnsi="Calibri"/>
          <w:b w:val="0"/>
          <w:color w:val="2B2B2B"/>
          <w:sz w:val="22"/>
        </w:rPr>
        <w:t>prototipo documentado (Semana 12).</w:t>
      </w:r>
    </w:p>
    <w:p>
      <w:r>
        <w:rPr>
          <w:rFonts w:ascii="Calibri" w:hAnsi="Calibri"/>
          <w:b/>
          <w:color w:val="2B2B2B"/>
          <w:sz w:val="22"/>
        </w:rPr>
        <w:t>Cobertura — qué entra.</w:t>
      </w:r>
    </w:p>
    <w:p>
      <w:pPr>
        <w:pStyle w:val="ListBullet"/>
      </w:pPr>
      <w:r>
        <w:rPr>
          <w:rFonts w:ascii="Calibri" w:hAnsi="Calibri"/>
          <w:b/>
          <w:color w:val="2B2B2B"/>
          <w:sz w:val="22"/>
        </w:rPr>
        <w:t>Organizaciones:</w:t>
      </w:r>
      <w:r>
        <w:rPr>
          <w:rFonts w:ascii="Calibri" w:hAnsi="Calibri"/>
          <w:b w:val="0"/>
          <w:color w:val="2B2B2B"/>
          <w:sz w:val="22"/>
        </w:rPr>
        <w:t xml:space="preserve"> entre </w:t>
      </w:r>
      <w:r>
        <w:rPr>
          <w:rFonts w:ascii="Calibri" w:hAnsi="Calibri"/>
          <w:b/>
          <w:color w:val="2B2B2B"/>
          <w:sz w:val="22"/>
        </w:rPr>
        <w:t>tres (3) y cinco (5)</w:t>
      </w:r>
      <w:r>
        <w:rPr>
          <w:rFonts w:ascii="Calibri" w:hAnsi="Calibri"/>
          <w:b w:val="0"/>
          <w:color w:val="2B2B2B"/>
          <w:sz w:val="22"/>
        </w:rPr>
        <w:t xml:space="preserve"> pymes u organizaciones gremiales del área de</w:t>
      </w:r>
    </w:p>
    <w:p>
      <w:r>
        <w:rPr>
          <w:rFonts w:ascii="Calibri" w:hAnsi="Calibri"/>
          <w:b w:val="0"/>
          <w:color w:val="2B2B2B"/>
          <w:sz w:val="22"/>
        </w:rPr>
        <w:t>influencia urbana de la sede Bogotá Centro, con Anexo 3 firmado. Criterios de selección: (a) tratar</w:t>
      </w:r>
    </w:p>
    <w:p>
      <w:r>
        <w:rPr>
          <w:rFonts w:ascii="Calibri" w:hAnsi="Calibri"/>
          <w:b w:val="0"/>
          <w:color w:val="2B2B2B"/>
          <w:sz w:val="22"/>
        </w:rPr>
        <w:t>datos personales de clientes, usuarios o afiliados como parte de su operación; (b) tamaño de micro,</w:t>
      </w:r>
    </w:p>
    <w:p>
      <w:r>
        <w:rPr>
          <w:rFonts w:ascii="Calibri" w:hAnsi="Calibri"/>
          <w:b w:val="0"/>
          <w:color w:val="2B2B2B"/>
          <w:sz w:val="22"/>
        </w:rPr>
        <w:t>pequeña o mediana empresa; (c) no contar con área formal de seguridad de la información —si la</w:t>
      </w:r>
    </w:p>
    <w:p>
      <w:r>
        <w:rPr>
          <w:rFonts w:ascii="Calibri" w:hAnsi="Calibri"/>
          <w:b w:val="0"/>
          <w:color w:val="2B2B2B"/>
          <w:sz w:val="22"/>
        </w:rPr>
        <w:t>tuviera, el instrumento no mediría lo que pretende medir—; (d) disponer de un interlocutor con</w:t>
      </w:r>
    </w:p>
    <w:p>
      <w:r>
        <w:rPr>
          <w:rFonts w:ascii="Calibri" w:hAnsi="Calibri"/>
          <w:b w:val="0"/>
          <w:color w:val="2B2B2B"/>
          <w:sz w:val="22"/>
        </w:rPr>
        <w:t>autoridad para autorizar la participación; (e) contar con algún sistema que produzca registros de</w:t>
      </w:r>
    </w:p>
    <w:p>
      <w:r>
        <w:rPr>
          <w:rFonts w:ascii="Calibri" w:hAnsi="Calibri"/>
          <w:b w:val="0"/>
          <w:color w:val="2B2B2B"/>
          <w:sz w:val="22"/>
        </w:rPr>
        <w:t>acceso, aunque no los revise.</w:t>
      </w:r>
    </w:p>
    <w:p>
      <w:pPr>
        <w:pStyle w:val="ListBullet"/>
      </w:pPr>
      <w:r>
        <w:rPr>
          <w:rFonts w:ascii="Calibri" w:hAnsi="Calibri"/>
          <w:b/>
          <w:color w:val="2B2B2B"/>
          <w:sz w:val="22"/>
        </w:rPr>
        <w:t>Dimensiones del diagnóstico:</w:t>
      </w:r>
      <w:r>
        <w:rPr>
          <w:rFonts w:ascii="Calibri" w:hAnsi="Calibri"/>
          <w:b w:val="0"/>
          <w:color w:val="2B2B2B"/>
          <w:sz w:val="22"/>
        </w:rPr>
        <w:t xml:space="preserve"> deberes de la Ley 1581 de 2012 y del Decreto 1377 de 2013</w:t>
      </w:r>
    </w:p>
    <w:p>
      <w:r>
        <w:rPr>
          <w:rFonts w:ascii="Calibri" w:hAnsi="Calibri"/>
          <w:b w:val="0"/>
          <w:color w:val="2B2B2B"/>
          <w:sz w:val="22"/>
        </w:rPr>
        <w:t>(autorización, finalidad, política de tratamiento, atención de consultas y reclamos, deber de</w:t>
      </w:r>
    </w:p>
    <w:p>
      <w:r>
        <w:rPr>
          <w:rFonts w:ascii="Calibri" w:hAnsi="Calibri"/>
          <w:b w:val="0"/>
          <w:color w:val="2B2B2B"/>
          <w:sz w:val="22"/>
        </w:rPr>
        <w:t xml:space="preserve">seguridad y confidencialidad) y un </w:t>
      </w:r>
      <w:r>
        <w:rPr>
          <w:rFonts w:ascii="Calibri" w:hAnsi="Calibri"/>
          <w:b/>
          <w:color w:val="2B2B2B"/>
          <w:sz w:val="22"/>
        </w:rPr>
        <w:t>subconjunto seleccionado y justificado</w:t>
      </w:r>
      <w:r>
        <w:rPr>
          <w:rFonts w:ascii="Calibri" w:hAnsi="Calibri"/>
          <w:b w:val="0"/>
          <w:color w:val="2B2B2B"/>
          <w:sz w:val="22"/>
        </w:rPr>
        <w:t xml:space="preserve"> de controles de ISO/IEC</w:t>
      </w:r>
    </w:p>
    <w:p>
      <w:r>
        <w:rPr>
          <w:rFonts w:ascii="Calibri" w:hAnsi="Calibri"/>
          <w:b w:val="0"/>
          <w:color w:val="2B2B2B"/>
          <w:sz w:val="22"/>
        </w:rPr>
        <w:t>27001:2022 e ISO/IEC 27002:2022, priorizado con el criterio de aplicabilidad a organizaciones de</w:t>
      </w:r>
    </w:p>
    <w:p>
      <w:r>
        <w:rPr>
          <w:rFonts w:ascii="Calibri" w:hAnsi="Calibri"/>
          <w:b w:val="0"/>
          <w:color w:val="2B2B2B"/>
          <w:sz w:val="22"/>
        </w:rPr>
        <w:t>capacidad limitada de los *Critical Security Controls* [3]: gestión de identidades y accesos,</w:t>
      </w:r>
    </w:p>
    <w:p>
      <w:r>
        <w:rPr>
          <w:rFonts w:ascii="Calibri" w:hAnsi="Calibri"/>
          <w:b w:val="0"/>
          <w:color w:val="2B2B2B"/>
          <w:sz w:val="22"/>
        </w:rPr>
        <w:t>respaldos y recuperación, actualización de software, protección contra código malicioso, registro y</w:t>
      </w:r>
    </w:p>
    <w:p>
      <w:r>
        <w:rPr>
          <w:rFonts w:ascii="Calibri" w:hAnsi="Calibri"/>
          <w:b w:val="0"/>
          <w:color w:val="2B2B2B"/>
          <w:sz w:val="22"/>
        </w:rPr>
        <w:t>revisión de eventos, y concienciación del personal.</w:t>
      </w:r>
    </w:p>
    <w:p>
      <w:pPr>
        <w:pStyle w:val="ListBullet"/>
      </w:pPr>
      <w:r>
        <w:rPr>
          <w:rFonts w:ascii="Calibri" w:hAnsi="Calibri"/>
          <w:b/>
          <w:color w:val="2B2B2B"/>
          <w:sz w:val="22"/>
        </w:rPr>
        <w:t>Componente tecnológico:</w:t>
      </w:r>
      <w:r>
        <w:rPr>
          <w:rFonts w:ascii="Calibri" w:hAnsi="Calibri"/>
          <w:b w:val="0"/>
          <w:color w:val="2B2B2B"/>
          <w:sz w:val="22"/>
        </w:rPr>
        <w:t xml:space="preserve"> un prototipo de detección de anomalías sobre registros de acceso de</w:t>
      </w:r>
    </w:p>
    <w:p>
      <w:r>
        <w:rPr>
          <w:rFonts w:ascii="Calibri" w:hAnsi="Calibri"/>
          <w:b w:val="0"/>
          <w:color w:val="2B2B2B"/>
          <w:sz w:val="22"/>
        </w:rPr>
        <w:t>estructura tabular, con un modelo no supervisado (Isolation Forest) y un detector estadístico de</w:t>
      </w:r>
    </w:p>
    <w:p>
      <w:r>
        <w:rPr>
          <w:rFonts w:ascii="Calibri" w:hAnsi="Calibri"/>
          <w:b w:val="0"/>
          <w:color w:val="2B2B2B"/>
          <w:sz w:val="22"/>
        </w:rPr>
        <w:t xml:space="preserve">referencia para comparación, evaluado sobre registros </w:t>
      </w:r>
      <w:r>
        <w:rPr>
          <w:rFonts w:ascii="Calibri" w:hAnsi="Calibri"/>
          <w:b/>
          <w:color w:val="2B2B2B"/>
          <w:sz w:val="22"/>
        </w:rPr>
        <w:t>sintéticos</w:t>
      </w:r>
      <w:r>
        <w:rPr>
          <w:rFonts w:ascii="Calibri" w:hAnsi="Calibri"/>
          <w:b w:val="0"/>
          <w:color w:val="2B2B2B"/>
          <w:sz w:val="22"/>
        </w:rPr>
        <w:t xml:space="preserve"> generados a partir de la</w:t>
      </w:r>
    </w:p>
    <w:p>
      <w:r>
        <w:rPr>
          <w:rFonts w:ascii="Calibri" w:hAnsi="Calibri"/>
          <w:b w:val="0"/>
          <w:color w:val="2B2B2B"/>
          <w:sz w:val="22"/>
        </w:rPr>
        <w:t xml:space="preserve">estructura de los registros reales y sobre registros </w:t>
      </w:r>
      <w:r>
        <w:rPr>
          <w:rFonts w:ascii="Calibri" w:hAnsi="Calibri"/>
          <w:b/>
          <w:color w:val="2B2B2B"/>
          <w:sz w:val="22"/>
        </w:rPr>
        <w:t>anonimizados por la propia organización</w:t>
      </w:r>
      <w:r>
        <w:rPr>
          <w:rFonts w:ascii="Calibri" w:hAnsi="Calibri"/>
          <w:b w:val="0"/>
          <w:color w:val="2B2B2B"/>
          <w:sz w:val="22"/>
        </w:rPr>
        <w:t>, con</w:t>
      </w:r>
    </w:p>
    <w:p>
      <w:r>
        <w:rPr>
          <w:rFonts w:ascii="Calibri" w:hAnsi="Calibri"/>
          <w:b w:val="0"/>
          <w:color w:val="2B2B2B"/>
          <w:sz w:val="22"/>
        </w:rPr>
        <w:t>anomalías inyectadas de referencia conocida.</w:t>
      </w:r>
    </w:p>
    <w:p>
      <w:pPr>
        <w:pStyle w:val="ListBullet"/>
      </w:pPr>
      <w:r>
        <w:rPr>
          <w:rFonts w:ascii="Calibri" w:hAnsi="Calibri"/>
          <w:b/>
          <w:color w:val="2B2B2B"/>
          <w:sz w:val="22"/>
        </w:rPr>
        <w:t>Productos que llegan a los destinatarios:</w:t>
      </w:r>
      <w:r>
        <w:rPr>
          <w:rFonts w:ascii="Calibri" w:hAnsi="Calibri"/>
          <w:b w:val="0"/>
          <w:color w:val="2B2B2B"/>
          <w:sz w:val="22"/>
        </w:rPr>
        <w:t xml:space="preserve"> modelo de buenas prácticas (lista de verificación +</w:t>
      </w:r>
    </w:p>
    <w:p>
      <w:r>
        <w:rPr>
          <w:rFonts w:ascii="Calibri" w:hAnsi="Calibri"/>
          <w:b w:val="0"/>
          <w:color w:val="2B2B2B"/>
          <w:sz w:val="22"/>
        </w:rPr>
        <w:t>protocolo operativo) validado por las organizaciones, y cartilla en lenguaje no técnico.</w:t>
      </w:r>
    </w:p>
    <w:p>
      <w:r>
        <w:rPr>
          <w:rFonts w:ascii="Calibri" w:hAnsi="Calibri"/>
          <w:b/>
          <w:color w:val="2B2B2B"/>
          <w:sz w:val="22"/>
        </w:rPr>
        <w:t>Exclusiones explícitas — qué queda fuera.</w:t>
      </w:r>
    </w:p>
    <w:p>
      <w:pPr>
        <w:pStyle w:val="ListNumber"/>
      </w:pPr>
      <w:r>
        <w:rPr>
          <w:rFonts w:ascii="Calibri" w:hAnsi="Calibri"/>
          <w:b/>
          <w:color w:val="2B2B2B"/>
          <w:sz w:val="22"/>
        </w:rPr>
        <w:t>No es una auditoría de seguridad ni un dictamen de cumplimiento normativo.</w:t>
      </w:r>
      <w:r>
        <w:rPr>
          <w:rFonts w:ascii="Calibri" w:hAnsi="Calibri"/>
          <w:b w:val="0"/>
          <w:color w:val="2B2B2B"/>
          <w:sz w:val="22"/>
        </w:rPr>
        <w:t xml:space="preserve"> El proyecto no emite</w:t>
      </w:r>
    </w:p>
    <w:p>
      <w:r>
        <w:rPr>
          <w:rFonts w:ascii="Calibri" w:hAnsi="Calibri"/>
          <w:b w:val="0"/>
          <w:color w:val="2B2B2B"/>
          <w:sz w:val="22"/>
        </w:rPr>
        <w:t>certificaciones, no acredita cumplimiento de la Ley 1581 de 2012 ante ninguna autoridad y no sustituye</w:t>
      </w:r>
    </w:p>
    <w:p>
      <w:r>
        <w:rPr>
          <w:rFonts w:ascii="Calibri" w:hAnsi="Calibri"/>
          <w:b w:val="0"/>
          <w:color w:val="2B2B2B"/>
          <w:sz w:val="22"/>
        </w:rPr>
        <w:t>asesoría jurídica. Se entrega por escrito a cada organización una constancia de participación en una</w:t>
      </w:r>
    </w:p>
    <w:p>
      <w:r>
        <w:rPr>
          <w:rFonts w:ascii="Calibri" w:hAnsi="Calibri"/>
          <w:b w:val="0"/>
          <w:color w:val="2B2B2B"/>
          <w:sz w:val="22"/>
        </w:rPr>
        <w:t>investigación, no un certificado de conformidad. Confundir esto sería el error más costoso posible</w:t>
      </w:r>
    </w:p>
    <w:p>
      <w:r>
        <w:rPr>
          <w:rFonts w:ascii="Calibri" w:hAnsi="Calibri"/>
          <w:b w:val="0"/>
          <w:color w:val="2B2B2B"/>
          <w:sz w:val="22"/>
        </w:rPr>
        <w:t>para las organizaciones y para la institución.</w:t>
      </w:r>
    </w:p>
    <w:p>
      <w:pPr>
        <w:pStyle w:val="ListNumber"/>
      </w:pPr>
      <w:r>
        <w:rPr>
          <w:rFonts w:ascii="Calibri" w:hAnsi="Calibri"/>
          <w:b/>
          <w:color w:val="2B2B2B"/>
          <w:sz w:val="22"/>
        </w:rPr>
        <w:t>No hay pruebas de intrusión ni análisis de vulnerabilidades técnicas.</w:t>
      </w:r>
      <w:r>
        <w:rPr>
          <w:rFonts w:ascii="Calibri" w:hAnsi="Calibri"/>
          <w:b w:val="0"/>
          <w:color w:val="2B2B2B"/>
          <w:sz w:val="22"/>
        </w:rPr>
        <w:t xml:space="preserve"> No se ejecuta escaneo de</w:t>
      </w:r>
    </w:p>
    <w:p>
      <w:r>
        <w:rPr>
          <w:rFonts w:ascii="Calibri" w:hAnsi="Calibri"/>
          <w:b w:val="0"/>
          <w:color w:val="2B2B2B"/>
          <w:sz w:val="22"/>
        </w:rPr>
        <w:t>puertos, ni explotación de vulnerabilidades, ni ingeniería social, ni ninguna actividad sobre la</w:t>
      </w:r>
    </w:p>
    <w:p>
      <w:r>
        <w:rPr>
          <w:rFonts w:ascii="Calibri" w:hAnsi="Calibri"/>
          <w:b w:val="0"/>
          <w:color w:val="2B2B2B"/>
          <w:sz w:val="22"/>
        </w:rPr>
        <w:t>infraestructura de las organizaciones. El diagnóstico es documental y por entrevista con verificación</w:t>
      </w:r>
    </w:p>
    <w:p>
      <w:r>
        <w:rPr>
          <w:rFonts w:ascii="Calibri" w:hAnsi="Calibri"/>
          <w:b w:val="0"/>
          <w:color w:val="2B2B2B"/>
          <w:sz w:val="22"/>
        </w:rPr>
        <w:t>en sitio de evidencias que la organización muestra voluntariamente. Esta exclusión no es solo de</w:t>
      </w:r>
    </w:p>
    <w:p>
      <w:r>
        <w:rPr>
          <w:rFonts w:ascii="Calibri" w:hAnsi="Calibri"/>
          <w:b w:val="0"/>
          <w:color w:val="2B2B2B"/>
          <w:sz w:val="22"/>
        </w:rPr>
        <w:t>alcance: es de licitud, porque cualquier actividad de ese tipo requiere autorización expresa y</w:t>
      </w:r>
    </w:p>
    <w:p>
      <w:r>
        <w:rPr>
          <w:rFonts w:ascii="Calibri" w:hAnsi="Calibri"/>
          <w:b w:val="0"/>
          <w:color w:val="2B2B2B"/>
          <w:sz w:val="22"/>
        </w:rPr>
        <w:t>delimitada que este proyecto no solicita.</w:t>
      </w:r>
    </w:p>
    <w:p>
      <w:pPr>
        <w:pStyle w:val="ListNumber"/>
      </w:pPr>
      <w:r>
        <w:rPr>
          <w:rFonts w:ascii="Calibri" w:hAnsi="Calibri"/>
          <w:b/>
          <w:color w:val="2B2B2B"/>
          <w:sz w:val="22"/>
        </w:rPr>
        <w:t>No se tratan datos personales reales de clientes o empleados de las organizaciones.</w:t>
      </w:r>
      <w:r>
        <w:rPr>
          <w:rFonts w:ascii="Calibri" w:hAnsi="Calibri"/>
          <w:b w:val="0"/>
          <w:color w:val="2B2B2B"/>
          <w:sz w:val="22"/>
        </w:rPr>
        <w:t xml:space="preserve"> Los registros</w:t>
      </w:r>
    </w:p>
    <w:p>
      <w:r>
        <w:rPr>
          <w:rFonts w:ascii="Calibri" w:hAnsi="Calibri"/>
          <w:b w:val="0"/>
          <w:color w:val="2B2B2B"/>
          <w:sz w:val="22"/>
        </w:rPr>
        <w:t>de acceso se anonimizan en la infraestructura de la organización antes de ser compartidos, o se</w:t>
      </w:r>
    </w:p>
    <w:p>
      <w:r>
        <w:rPr>
          <w:rFonts w:ascii="Calibri" w:hAnsi="Calibri"/>
          <w:b w:val="0"/>
          <w:color w:val="2B2B2B"/>
          <w:sz w:val="22"/>
        </w:rPr>
        <w:t>sustituyen por registros sintéticos con la misma estructura. El proyecto **no actúa como encargado</w:t>
      </w:r>
    </w:p>
    <w:p>
      <w:r>
        <w:rPr>
          <w:rFonts w:ascii="Calibri" w:hAnsi="Calibri"/>
          <w:b w:val="0"/>
          <w:color w:val="2B2B2B"/>
          <w:sz w:val="22"/>
        </w:rPr>
        <w:t>del tratamiento** de datos de terceros y rechaza los registros que lleguen sin anonimizar (pendiente</w:t>
      </w:r>
    </w:p>
    <w:p>
      <w:r>
        <w:rPr>
          <w:rFonts w:ascii="Calibri" w:hAnsi="Calibri"/>
          <w:b w:val="0"/>
          <w:color w:val="2B2B2B"/>
          <w:sz w:val="22"/>
        </w:rPr>
        <w:t>10).</w:t>
      </w:r>
    </w:p>
    <w:p>
      <w:pPr>
        <w:pStyle w:val="ListNumber"/>
      </w:pPr>
      <w:r>
        <w:rPr>
          <w:rFonts w:ascii="Calibri" w:hAnsi="Calibri"/>
          <w:b/>
          <w:color w:val="2B2B2B"/>
          <w:sz w:val="22"/>
        </w:rPr>
        <w:t>No se despliega el prototipo en producción</w:t>
      </w:r>
      <w:r>
        <w:rPr>
          <w:rFonts w:ascii="Calibri" w:hAnsi="Calibri"/>
          <w:b w:val="0"/>
          <w:color w:val="2B2B2B"/>
          <w:sz w:val="22"/>
        </w:rPr>
        <w:t xml:space="preserve"> dentro de la infraestructura de ninguna organización,</w:t>
      </w:r>
    </w:p>
    <w:p>
      <w:r>
        <w:rPr>
          <w:rFonts w:ascii="Calibri" w:hAnsi="Calibri"/>
          <w:b w:val="0"/>
          <w:color w:val="2B2B2B"/>
          <w:sz w:val="22"/>
        </w:rPr>
        <w:t>ni se compromete monitoreo continuo, ni soporte, ni mantenimiento posterior. Se entrega un cuaderno</w:t>
      </w:r>
    </w:p>
    <w:p>
      <w:r>
        <w:rPr>
          <w:rFonts w:ascii="Calibri" w:hAnsi="Calibri"/>
          <w:b w:val="0"/>
          <w:color w:val="2B2B2B"/>
          <w:sz w:val="22"/>
        </w:rPr>
        <w:t>reproducible y sus instrucciones.</w:t>
      </w:r>
    </w:p>
    <w:p>
      <w:pPr>
        <w:pStyle w:val="ListNumber"/>
      </w:pPr>
      <w:r>
        <w:rPr>
          <w:rFonts w:ascii="Calibri" w:hAnsi="Calibri"/>
          <w:b/>
          <w:color w:val="2B2B2B"/>
          <w:sz w:val="22"/>
        </w:rPr>
        <w:t>No se implementa un sistema de gestión de seguridad de la información</w:t>
      </w:r>
      <w:r>
        <w:rPr>
          <w:rFonts w:ascii="Calibri" w:hAnsi="Calibri"/>
          <w:b w:val="0"/>
          <w:color w:val="2B2B2B"/>
          <w:sz w:val="22"/>
        </w:rPr>
        <w:t xml:space="preserve"> ni se prepara a ninguna</w:t>
      </w:r>
    </w:p>
    <w:p>
      <w:r>
        <w:rPr>
          <w:rFonts w:ascii="Calibri" w:hAnsi="Calibri"/>
          <w:b w:val="0"/>
          <w:color w:val="2B2B2B"/>
          <w:sz w:val="22"/>
        </w:rPr>
        <w:t>organización para certificarse en ISO/IEC 27001:2022. Se toman controles del estándar como referencia</w:t>
      </w:r>
    </w:p>
    <w:p>
      <w:r>
        <w:rPr>
          <w:rFonts w:ascii="Calibri" w:hAnsi="Calibri"/>
          <w:b w:val="0"/>
          <w:color w:val="2B2B2B"/>
          <w:sz w:val="22"/>
        </w:rPr>
        <w:t>de contenido, nada más.</w:t>
      </w:r>
    </w:p>
    <w:p>
      <w:pPr>
        <w:pStyle w:val="ListNumber"/>
      </w:pPr>
      <w:r>
        <w:rPr>
          <w:rFonts w:ascii="Calibri" w:hAnsi="Calibri"/>
          <w:b/>
          <w:color w:val="2B2B2B"/>
          <w:sz w:val="22"/>
        </w:rPr>
        <w:t>No se afirma representatividad estadística del sector.</w:t>
      </w:r>
      <w:r>
        <w:rPr>
          <w:rFonts w:ascii="Calibri" w:hAnsi="Calibri"/>
          <w:b w:val="0"/>
          <w:color w:val="2B2B2B"/>
          <w:sz w:val="22"/>
        </w:rPr>
        <w:t xml:space="preserve"> Con tres a cinco organizaciones</w:t>
      </w:r>
    </w:p>
    <w:p>
      <w:r>
        <w:rPr>
          <w:rFonts w:ascii="Calibri" w:hAnsi="Calibri"/>
          <w:b w:val="0"/>
          <w:color w:val="2B2B2B"/>
          <w:sz w:val="22"/>
        </w:rPr>
        <w:t>seleccionadas por criterio y por disponibilidad, los resultados describen a esas organizaciones. El</w:t>
      </w:r>
    </w:p>
    <w:p>
      <w:r>
        <w:rPr>
          <w:rFonts w:ascii="Calibri" w:hAnsi="Calibri"/>
          <w:b w:val="0"/>
          <w:color w:val="2B2B2B"/>
          <w:sz w:val="22"/>
        </w:rPr>
        <w:t xml:space="preserve">valor externo del estudio está en el </w:t>
      </w:r>
      <w:r>
        <w:rPr>
          <w:rFonts w:ascii="Calibri" w:hAnsi="Calibri"/>
          <w:b/>
          <w:color w:val="2B2B2B"/>
          <w:sz w:val="22"/>
        </w:rPr>
        <w:t>instrumento y en el modelo</w:t>
      </w:r>
      <w:r>
        <w:rPr>
          <w:rFonts w:ascii="Calibri" w:hAnsi="Calibri"/>
          <w:b w:val="0"/>
          <w:color w:val="2B2B2B"/>
          <w:sz w:val="22"/>
        </w:rPr>
        <w:t>, no en la generalización de los</w:t>
      </w:r>
    </w:p>
    <w:p>
      <w:r>
        <w:rPr>
          <w:rFonts w:ascii="Calibri" w:hAnsi="Calibri"/>
          <w:b w:val="0"/>
          <w:color w:val="2B2B2B"/>
          <w:sz w:val="22"/>
        </w:rPr>
        <w:t>niveles de madurez encontrados, y así se reportará.</w:t>
      </w:r>
    </w:p>
    <w:p>
      <w:pPr>
        <w:pStyle w:val="ListNumber"/>
      </w:pPr>
      <w:r>
        <w:rPr>
          <w:rFonts w:ascii="Calibri" w:hAnsi="Calibri"/>
          <w:b/>
          <w:color w:val="2B2B2B"/>
          <w:sz w:val="22"/>
        </w:rPr>
        <w:t>No se verifica la adopción sostenida de las recomendaciones.</w:t>
      </w:r>
      <w:r>
        <w:rPr>
          <w:rFonts w:ascii="Calibri" w:hAnsi="Calibri"/>
          <w:b w:val="0"/>
          <w:color w:val="2B2B2B"/>
          <w:sz w:val="22"/>
        </w:rPr>
        <w:t xml:space="preserve"> El proyecto mide compromiso de</w:t>
      </w:r>
    </w:p>
    <w:p>
      <w:r>
        <w:rPr>
          <w:rFonts w:ascii="Calibri" w:hAnsi="Calibri"/>
          <w:b w:val="0"/>
          <w:color w:val="2B2B2B"/>
          <w:sz w:val="22"/>
        </w:rPr>
        <w:t>adopción y evidencia inicial dentro de las 12 semanas; el seguimiento a tres o seis meses exige una</w:t>
      </w:r>
    </w:p>
    <w:p>
      <w:r>
        <w:rPr>
          <w:rFonts w:ascii="Calibri" w:hAnsi="Calibri"/>
          <w:b w:val="0"/>
          <w:color w:val="2B2B2B"/>
          <w:sz w:val="22"/>
        </w:rPr>
        <w:t>ventana que este plazo no tiene y queda propuesto como continuación, no comprometido como resultado.</w:t>
      </w:r>
    </w:p>
    <w:p>
      <w:pPr>
        <w:pStyle w:val="ListNumber"/>
      </w:pPr>
      <w:r>
        <w:rPr>
          <w:rFonts w:ascii="Calibri" w:hAnsi="Calibri"/>
          <w:b/>
          <w:color w:val="2B2B2B"/>
          <w:sz w:val="22"/>
        </w:rPr>
        <w:t>No se comparan algoritmos de detección de anomalías entre sí</w:t>
      </w:r>
      <w:r>
        <w:rPr>
          <w:rFonts w:ascii="Calibri" w:hAnsi="Calibri"/>
          <w:b w:val="0"/>
          <w:color w:val="2B2B2B"/>
          <w:sz w:val="22"/>
        </w:rPr>
        <w:t xml:space="preserve"> más allá del contraste entre el</w:t>
      </w:r>
    </w:p>
    <w:p>
      <w:r>
        <w:rPr>
          <w:rFonts w:ascii="Calibri" w:hAnsi="Calibri"/>
          <w:b w:val="0"/>
          <w:color w:val="2B2B2B"/>
          <w:sz w:val="22"/>
        </w:rPr>
        <w:t>modelo no supervisado y el detector estadístico de referencia. Un estudio comparativo de familias de</w:t>
      </w:r>
    </w:p>
    <w:p>
      <w:r>
        <w:rPr>
          <w:rFonts w:ascii="Calibri" w:hAnsi="Calibri"/>
          <w:b w:val="0"/>
          <w:color w:val="2B2B2B"/>
          <w:sz w:val="22"/>
        </w:rPr>
        <w:t>algoritmos es otra investigación.</w:t>
      </w:r>
    </w:p>
    <w:p>
      <w:pPr>
        <w:pStyle w:val="ListNumber"/>
      </w:pPr>
      <w:r>
        <w:rPr>
          <w:rFonts w:ascii="Calibri" w:hAnsi="Calibri"/>
          <w:b w:val="0"/>
          <w:color w:val="2B2B2B"/>
          <w:sz w:val="22"/>
        </w:rPr>
        <w:t>**No se producen productos de formación de recurso humano en CTeI más allá de la vinculación del</w:t>
      </w:r>
    </w:p>
    <w:p>
      <w:r>
        <w:rPr>
          <w:rFonts w:ascii="Calibri" w:hAnsi="Calibri"/>
          <w:b w:val="0"/>
          <w:color w:val="2B2B2B"/>
          <w:sz w:val="22"/>
        </w:rPr>
        <w:t>auxiliar de semillero**, y no se compromete un producto de divulgación pública de la ciencia: en 12</w:t>
      </w:r>
    </w:p>
    <w:p>
      <w:r>
        <w:rPr>
          <w:rFonts w:ascii="Calibri" w:hAnsi="Calibri"/>
          <w:b w:val="0"/>
          <w:color w:val="2B2B2B"/>
          <w:sz w:val="22"/>
        </w:rPr>
        <w:t>semanas sería la cartilla bajo otro rótulo.</w:t>
      </w:r>
    </w:p>
    <w:p>
      <w:r>
        <w:rPr>
          <w:rFonts w:ascii="Calibri" w:hAnsi="Calibri"/>
          <w:b/>
          <w:color w:val="2B2B2B"/>
          <w:sz w:val="22"/>
        </w:rPr>
        <w:t>Supuestos declarados.</w:t>
      </w:r>
      <w:r>
        <w:rPr>
          <w:rFonts w:ascii="Calibri" w:hAnsi="Calibri"/>
          <w:b w:val="0"/>
          <w:color w:val="2B2B2B"/>
          <w:sz w:val="22"/>
        </w:rPr>
        <w:t xml:space="preserve"> (a) Al menos tres organizaciones firman el Anexo 3 y asignan un interlocutor;</w:t>
      </w:r>
    </w:p>
    <w:p>
      <w:r>
        <w:rPr>
          <w:rFonts w:ascii="Calibri" w:hAnsi="Calibri"/>
          <w:b w:val="0"/>
          <w:color w:val="2B2B2B"/>
          <w:sz w:val="22"/>
        </w:rPr>
        <w:t>(b) el Comité de Ética de la Investigación Institucional avala los instrumentos y el consentimiento</w:t>
      </w:r>
    </w:p>
    <w:p>
      <w:r>
        <w:rPr>
          <w:rFonts w:ascii="Calibri" w:hAnsi="Calibri"/>
          <w:b w:val="0"/>
          <w:color w:val="2B2B2B"/>
          <w:sz w:val="22"/>
        </w:rPr>
        <w:t>informado antes de la primera visita; (c) las organizaciones pueden exportar registros de acceso de algún</w:t>
      </w:r>
    </w:p>
    <w:p>
      <w:r>
        <w:rPr>
          <w:rFonts w:ascii="Calibri" w:hAnsi="Calibri"/>
          <w:b w:val="0"/>
          <w:color w:val="2B2B2B"/>
          <w:sz w:val="22"/>
        </w:rPr>
        <w:t>sistema, aunque sea en formato tabular simple; (d) la descarga horaria aprobada permite el trabajo de</w:t>
      </w:r>
    </w:p>
    <w:p>
      <w:r>
        <w:rPr>
          <w:rFonts w:ascii="Calibri" w:hAnsi="Calibri"/>
          <w:b w:val="0"/>
          <w:color w:val="2B2B2B"/>
          <w:sz w:val="22"/>
        </w:rPr>
        <w:t>campo previsto; (e) el rubro de talento humano resulta financiable o se aplica el plan de reemplazo del</w:t>
      </w:r>
    </w:p>
    <w:p>
      <w:r>
        <w:rPr>
          <w:rFonts w:ascii="Calibri" w:hAnsi="Calibri"/>
          <w:b w:val="0"/>
          <w:color w:val="2B2B2B"/>
          <w:sz w:val="22"/>
        </w:rPr>
        <w:t>pendiente 8.</w:t>
      </w:r>
    </w:p>
    <w:p>
      <w:pPr>
        <w:spacing w:before="200" w:after="60"/>
      </w:pPr>
      <w:r>
        <w:rPr>
          <w:rFonts w:ascii="Calibri" w:hAnsi="Calibri"/>
          <w:b/>
          <w:color w:val="007433"/>
          <w:sz w:val="32"/>
        </w:rPr>
        <w:t>Objetivo general de la propuesta</w:t>
      </w:r>
    </w:p>
    <w:p>
      <w:r>
        <w:rPr>
          <w:rFonts w:ascii="Calibri" w:hAnsi="Calibri"/>
          <w:b w:val="0"/>
          <w:color w:val="2B2B2B"/>
          <w:sz w:val="22"/>
        </w:rPr>
        <w:t>Determinar el nivel de madurez en protección de datos personales y ciberseguridad de entre tres y cinco</w:t>
      </w:r>
    </w:p>
    <w:p>
      <w:r>
        <w:rPr>
          <w:rFonts w:ascii="Calibri" w:hAnsi="Calibri"/>
          <w:b w:val="0"/>
          <w:color w:val="2B2B2B"/>
          <w:sz w:val="22"/>
        </w:rPr>
        <w:t>pymes aliadas de la CUN, mediante un instrumento de diagnóstico construido para su escala a partir del</w:t>
      </w:r>
    </w:p>
    <w:p>
      <w:r>
        <w:rPr>
          <w:rFonts w:ascii="Calibri" w:hAnsi="Calibri"/>
          <w:b w:val="0"/>
          <w:color w:val="2B2B2B"/>
          <w:sz w:val="22"/>
        </w:rPr>
        <w:t>marco normativo colombiano y de controles seleccionados de los estándares internacionales de referencia,</w:t>
      </w:r>
    </w:p>
    <w:p>
      <w:r>
        <w:rPr>
          <w:rFonts w:ascii="Calibri" w:hAnsi="Calibri"/>
          <w:b w:val="0"/>
          <w:color w:val="2B2B2B"/>
          <w:sz w:val="22"/>
        </w:rPr>
        <w:t>y formular y validar con esas organizaciones un modelo de buenas prácticas aplicable con sus propios</w:t>
      </w:r>
    </w:p>
    <w:p>
      <w:r>
        <w:rPr>
          <w:rFonts w:ascii="Calibri" w:hAnsi="Calibri"/>
          <w:b w:val="0"/>
          <w:color w:val="2B2B2B"/>
          <w:sz w:val="22"/>
        </w:rPr>
        <w:t>recursos, complementado con un prototipo evaluado de detección no supervisada de anomalías sobre</w:t>
      </w:r>
    </w:p>
    <w:p>
      <w:r>
        <w:rPr>
          <w:rFonts w:ascii="Calibri" w:hAnsi="Calibri"/>
          <w:b w:val="0"/>
          <w:color w:val="2B2B2B"/>
          <w:sz w:val="22"/>
        </w:rPr>
        <w:t>registros de acceso, en un plazo de 12 semanas.</w:t>
      </w:r>
    </w:p>
    <w:p>
      <w:pPr>
        <w:spacing w:before="200" w:after="60"/>
      </w:pPr>
      <w:r>
        <w:rPr>
          <w:rFonts w:ascii="Calibri" w:hAnsi="Calibri"/>
          <w:b/>
          <w:color w:val="007433"/>
          <w:sz w:val="32"/>
        </w:rPr>
        <w:t>Objetivos específicos de la propuesta</w:t>
      </w:r>
    </w:p>
    <w:p>
      <w:pPr>
        <w:pStyle w:val="ListNumber"/>
      </w:pPr>
      <w:r>
        <w:rPr>
          <w:rFonts w:ascii="Calibri" w:hAnsi="Calibri"/>
          <w:b/>
          <w:color w:val="2B2B2B"/>
          <w:sz w:val="22"/>
        </w:rPr>
        <w:t>Construir y validar</w:t>
      </w:r>
      <w:r>
        <w:rPr>
          <w:rFonts w:ascii="Calibri" w:hAnsi="Calibri"/>
          <w:b w:val="0"/>
          <w:color w:val="2B2B2B"/>
          <w:sz w:val="22"/>
        </w:rPr>
        <w:t xml:space="preserve"> un instrumento de diagnóstico de madurez en protección de datos personales y</w:t>
      </w:r>
    </w:p>
    <w:p>
      <w:r>
        <w:rPr>
          <w:rFonts w:ascii="Calibri" w:hAnsi="Calibri"/>
          <w:b w:val="0"/>
          <w:color w:val="2B2B2B"/>
          <w:sz w:val="22"/>
        </w:rPr>
        <w:t>ciberseguridad para organizaciones de capacidad limitada —matriz de correspondencia entre deberes de</w:t>
      </w:r>
    </w:p>
    <w:p>
      <w:r>
        <w:rPr>
          <w:rFonts w:ascii="Calibri" w:hAnsi="Calibri"/>
          <w:b w:val="0"/>
          <w:color w:val="2B2B2B"/>
          <w:sz w:val="22"/>
        </w:rPr>
        <w:t>la Ley 1581 de 2012 y del Decreto 1377 de 2013 y controles seleccionados de ISO/IEC 27001:2022 e</w:t>
      </w:r>
    </w:p>
    <w:p>
      <w:r>
        <w:rPr>
          <w:rFonts w:ascii="Calibri" w:hAnsi="Calibri"/>
          <w:b w:val="0"/>
          <w:color w:val="2B2B2B"/>
          <w:sz w:val="22"/>
        </w:rPr>
        <w:t>ISO/IEC 27002:2022, con ítems verificables y anclas de calificación—, someterlo a juicio de tres</w:t>
      </w:r>
    </w:p>
    <w:p>
      <w:r>
        <w:rPr>
          <w:rFonts w:ascii="Calibri" w:hAnsi="Calibri"/>
          <w:b w:val="0"/>
          <w:color w:val="2B2B2B"/>
          <w:sz w:val="22"/>
        </w:rPr>
        <w:t>expertos y aplicarlo a las organizaciones participantes con doble calificación independiente en al</w:t>
      </w:r>
    </w:p>
    <w:p>
      <w:r>
        <w:rPr>
          <w:rFonts w:ascii="Calibri" w:hAnsi="Calibri"/>
          <w:b w:val="0"/>
          <w:color w:val="2B2B2B"/>
          <w:sz w:val="22"/>
        </w:rPr>
        <w:t xml:space="preserve">menos dos de ellas, reportando el acuerdo entre calificadores, durante las </w:t>
      </w:r>
      <w:r>
        <w:rPr>
          <w:rFonts w:ascii="Calibri" w:hAnsi="Calibri"/>
          <w:b/>
          <w:color w:val="2B2B2B"/>
          <w:sz w:val="22"/>
        </w:rPr>
        <w:t>semanas 1 a 6</w:t>
      </w:r>
      <w:r>
        <w:rPr>
          <w:rFonts w:ascii="Calibri" w:hAnsi="Calibri"/>
          <w:b w:val="0"/>
          <w:color w:val="2B2B2B"/>
          <w:sz w:val="22"/>
        </w:rPr>
        <w:t xml:space="preserve"> de</w:t>
      </w:r>
    </w:p>
    <w:p>
      <w:r>
        <w:rPr>
          <w:rFonts w:ascii="Calibri" w:hAnsi="Calibri"/>
          <w:b w:val="0"/>
          <w:color w:val="2B2B2B"/>
          <w:sz w:val="22"/>
        </w:rPr>
        <w:t>ejecución.</w:t>
      </w:r>
    </w:p>
    <w:p>
      <w:pPr>
        <w:pStyle w:val="ListNumber"/>
      </w:pPr>
      <w:r>
        <w:rPr>
          <w:rFonts w:ascii="Calibri" w:hAnsi="Calibri"/>
          <w:b/>
          <w:color w:val="2B2B2B"/>
          <w:sz w:val="22"/>
        </w:rPr>
        <w:t>Caracterizar</w:t>
      </w:r>
      <w:r>
        <w:rPr>
          <w:rFonts w:ascii="Calibri" w:hAnsi="Calibri"/>
          <w:b w:val="0"/>
          <w:color w:val="2B2B2B"/>
          <w:sz w:val="22"/>
        </w:rPr>
        <w:t xml:space="preserve"> el nivel de madurez resultante por dimensión y organización, identificando brechas</w:t>
      </w:r>
    </w:p>
    <w:p>
      <w:r>
        <w:rPr>
          <w:rFonts w:ascii="Calibri" w:hAnsi="Calibri"/>
          <w:b w:val="0"/>
          <w:color w:val="2B2B2B"/>
          <w:sz w:val="22"/>
        </w:rPr>
        <w:t xml:space="preserve">comunes y específicas, y </w:t>
      </w:r>
      <w:r>
        <w:rPr>
          <w:rFonts w:ascii="Calibri" w:hAnsi="Calibri"/>
          <w:b/>
          <w:color w:val="2B2B2B"/>
          <w:sz w:val="22"/>
        </w:rPr>
        <w:t>diseñar y validar</w:t>
      </w:r>
      <w:r>
        <w:rPr>
          <w:rFonts w:ascii="Calibri" w:hAnsi="Calibri"/>
          <w:b w:val="0"/>
          <w:color w:val="2B2B2B"/>
          <w:sz w:val="22"/>
        </w:rPr>
        <w:t xml:space="preserve"> con los representantes de las organizaciones un modelo</w:t>
      </w:r>
    </w:p>
    <w:p>
      <w:r>
        <w:rPr>
          <w:rFonts w:ascii="Calibri" w:hAnsi="Calibri"/>
          <w:b w:val="0"/>
          <w:color w:val="2B2B2B"/>
          <w:sz w:val="22"/>
        </w:rPr>
        <w:t>de buenas prácticas —lista de verificación y protocolo operativo, con su versión divulgativa en</w:t>
      </w:r>
    </w:p>
    <w:p>
      <w:r>
        <w:rPr>
          <w:rFonts w:ascii="Calibri" w:hAnsi="Calibri"/>
          <w:b w:val="0"/>
          <w:color w:val="2B2B2B"/>
          <w:sz w:val="22"/>
        </w:rPr>
        <w:t>cartilla— cuya aplicabilidad con recursos propios sea calificada por ellos mismos, durante las</w:t>
      </w:r>
    </w:p>
    <w:p>
      <w:r>
        <w:rPr>
          <w:rFonts w:ascii="Calibri" w:hAnsi="Calibri"/>
          <w:b/>
          <w:color w:val="2B2B2B"/>
          <w:sz w:val="22"/>
        </w:rPr>
        <w:t>semanas 5 a 10</w:t>
      </w:r>
      <w:r>
        <w:rPr>
          <w:rFonts w:ascii="Calibri" w:hAnsi="Calibri"/>
          <w:b w:val="0"/>
          <w:color w:val="2B2B2B"/>
          <w:sz w:val="22"/>
        </w:rPr>
        <w:t xml:space="preserve"> de ejecución.</w:t>
      </w:r>
    </w:p>
    <w:p>
      <w:pPr>
        <w:pStyle w:val="ListNumber"/>
      </w:pPr>
      <w:r>
        <w:rPr>
          <w:rFonts w:ascii="Calibri" w:hAnsi="Calibri"/>
          <w:b/>
          <w:color w:val="2B2B2B"/>
          <w:sz w:val="22"/>
        </w:rPr>
        <w:t>Implementar y evaluar</w:t>
      </w:r>
      <w:r>
        <w:rPr>
          <w:rFonts w:ascii="Calibri" w:hAnsi="Calibri"/>
          <w:b w:val="0"/>
          <w:color w:val="2B2B2B"/>
          <w:sz w:val="22"/>
        </w:rPr>
        <w:t xml:space="preserve"> un prototipo de detección no supervisada de anomalías sobre registros de</w:t>
      </w:r>
    </w:p>
    <w:p>
      <w:r>
        <w:rPr>
          <w:rFonts w:ascii="Calibri" w:hAnsi="Calibri"/>
          <w:b w:val="0"/>
          <w:color w:val="2B2B2B"/>
          <w:sz w:val="22"/>
        </w:rPr>
        <w:t>acceso sintéticos y anonimizados con anomalías inyectadas de referencia conocida, contrastándolo con</w:t>
      </w:r>
    </w:p>
    <w:p>
      <w:r>
        <w:rPr>
          <w:rFonts w:ascii="Calibri" w:hAnsi="Calibri"/>
          <w:b w:val="0"/>
          <w:color w:val="2B2B2B"/>
          <w:sz w:val="22"/>
        </w:rPr>
        <w:t xml:space="preserve">un detector estadístico de referencia basado en reglas simples, y </w:t>
      </w:r>
      <w:r>
        <w:rPr>
          <w:rFonts w:ascii="Calibri" w:hAnsi="Calibri"/>
          <w:b/>
          <w:color w:val="2B2B2B"/>
          <w:sz w:val="22"/>
        </w:rPr>
        <w:t>documentarlo</w:t>
      </w:r>
      <w:r>
        <w:rPr>
          <w:rFonts w:ascii="Calibri" w:hAnsi="Calibri"/>
          <w:b w:val="0"/>
          <w:color w:val="2B2B2B"/>
          <w:sz w:val="22"/>
        </w:rPr>
        <w:t xml:space="preserve"> como cuaderno</w:t>
      </w:r>
    </w:p>
    <w:p>
      <w:r>
        <w:rPr>
          <w:rFonts w:ascii="Calibri" w:hAnsi="Calibri"/>
          <w:b w:val="0"/>
          <w:color w:val="2B2B2B"/>
          <w:sz w:val="22"/>
        </w:rPr>
        <w:t>reproducible cuyos hallazgos se incorporan al componente de registro y revisión de eventos del modelo</w:t>
      </w:r>
    </w:p>
    <w:p>
      <w:r>
        <w:rPr>
          <w:rFonts w:ascii="Calibri" w:hAnsi="Calibri"/>
          <w:b w:val="0"/>
          <w:color w:val="2B2B2B"/>
          <w:sz w:val="22"/>
        </w:rPr>
        <w:t xml:space="preserve">de buenas prácticas, durante las </w:t>
      </w:r>
      <w:r>
        <w:rPr>
          <w:rFonts w:ascii="Calibri" w:hAnsi="Calibri"/>
          <w:b/>
          <w:color w:val="2B2B2B"/>
          <w:sz w:val="22"/>
        </w:rPr>
        <w:t>semanas 4 a 11</w:t>
      </w:r>
      <w:r>
        <w:rPr>
          <w:rFonts w:ascii="Calibri" w:hAnsi="Calibri"/>
          <w:b w:val="0"/>
          <w:color w:val="2B2B2B"/>
          <w:sz w:val="22"/>
        </w:rPr>
        <w:t xml:space="preserve"> de ejecución.</w:t>
      </w:r>
    </w:p>
    <w:p>
      <w:r>
        <w:rPr>
          <w:rFonts w:ascii="Calibri" w:hAnsi="Calibri"/>
          <w:b w:val="0"/>
          <w:color w:val="2B2B2B"/>
          <w:sz w:val="22"/>
        </w:rPr>
        <w:t>*El cumplimiento conjunto de los tres objetivos específicos constituye el objetivo general: el primero</w:t>
      </w:r>
    </w:p>
    <w:p>
      <w:r>
        <w:rPr>
          <w:rFonts w:ascii="Calibri" w:hAnsi="Calibri"/>
          <w:b w:val="0"/>
          <w:color w:val="2B2B2B"/>
          <w:sz w:val="22"/>
        </w:rPr>
        <w:t>produce el instrumento y la línea base, el segundo convierte esa línea base en un modelo validado por sus</w:t>
      </w:r>
    </w:p>
    <w:p>
      <w:r>
        <w:rPr>
          <w:rFonts w:ascii="Calibri" w:hAnsi="Calibri"/>
          <w:b w:val="0"/>
          <w:color w:val="2B2B2B"/>
          <w:sz w:val="22"/>
        </w:rPr>
        <w:t>destinatarios, y el tercero aporta la capacidad de detección que la autoevaluación no puede dar. La</w:t>
      </w:r>
    </w:p>
    <w:p>
      <w:r>
        <w:rPr>
          <w:rFonts w:ascii="Calibri" w:hAnsi="Calibri"/>
          <w:b w:val="0"/>
          <w:color w:val="2B2B2B"/>
          <w:sz w:val="22"/>
        </w:rPr>
        <w:t>numeración de las actividades es consecutiva a través de los tres objetivos y es la que referencia el</w:t>
      </w:r>
    </w:p>
    <w:p>
      <w:r>
        <w:rPr>
          <w:rFonts w:ascii="Calibri" w:hAnsi="Calibri"/>
          <w:b w:val="0"/>
          <w:color w:val="2B2B2B"/>
          <w:sz w:val="22"/>
        </w:rPr>
        <w:t>cronograma.*</w:t>
      </w:r>
    </w:p>
    <w:p>
      <w:pPr>
        <w:spacing w:before="200" w:after="60"/>
      </w:pPr>
      <w:r>
        <w:rPr>
          <w:rFonts w:ascii="Calibri" w:hAnsi="Calibri"/>
          <w:b/>
          <w:color w:val="007433"/>
          <w:sz w:val="32"/>
        </w:rPr>
        <w:t>Hipótesis</w:t>
      </w:r>
    </w:p>
    <w:p>
      <w:r>
        <w:rPr>
          <w:rFonts w:ascii="Calibri" w:hAnsi="Calibri"/>
          <w:b w:val="0"/>
          <w:color w:val="2B2B2B"/>
          <w:sz w:val="22"/>
        </w:rPr>
        <w:t xml:space="preserve">El tipo de propuesta es </w:t>
      </w:r>
      <w:r>
        <w:rPr>
          <w:rFonts w:ascii="Calibri" w:hAnsi="Calibri"/>
          <w:b/>
          <w:color w:val="2B2B2B"/>
          <w:sz w:val="22"/>
        </w:rPr>
        <w:t>Investigación</w:t>
      </w:r>
      <w:r>
        <w:rPr>
          <w:rFonts w:ascii="Calibri" w:hAnsi="Calibri"/>
          <w:b w:val="0"/>
          <w:color w:val="2B2B2B"/>
          <w:sz w:val="22"/>
        </w:rPr>
        <w:t xml:space="preserve"> y su diseño es diagnóstico-descriptivo en sus dos primeros</w:t>
      </w:r>
    </w:p>
    <w:p>
      <w:r>
        <w:rPr>
          <w:rFonts w:ascii="Calibri" w:hAnsi="Calibri"/>
          <w:b w:val="0"/>
          <w:color w:val="2B2B2B"/>
          <w:sz w:val="22"/>
        </w:rPr>
        <w:t>objetivos y de validación técnica en el tercero. No es un diseño explicativo ni experimental, de modo que</w:t>
      </w:r>
    </w:p>
    <w:p>
      <w:r>
        <w:rPr>
          <w:rFonts w:ascii="Calibri" w:hAnsi="Calibri"/>
          <w:b w:val="0"/>
          <w:color w:val="2B2B2B"/>
          <w:sz w:val="22"/>
        </w:rPr>
        <w:t>no hay hipótesis causales que contrastar; sin embargo, **sí hay proposiciones falsables y conviene</w:t>
      </w:r>
    </w:p>
    <w:p>
      <w:r>
        <w:rPr>
          <w:rFonts w:ascii="Calibri" w:hAnsi="Calibri"/>
          <w:b w:val="0"/>
          <w:color w:val="2B2B2B"/>
          <w:sz w:val="22"/>
        </w:rPr>
        <w:t>declararlas por adelantado, con sus condiciones de refutación**, para que el análisis no se limite a</w:t>
      </w:r>
    </w:p>
    <w:p>
      <w:r>
        <w:rPr>
          <w:rFonts w:ascii="Calibri" w:hAnsi="Calibri"/>
          <w:b w:val="0"/>
          <w:color w:val="2B2B2B"/>
          <w:sz w:val="22"/>
        </w:rPr>
        <w:t>describir lo que convenga al investigador. Se declaran cinco.</w:t>
      </w:r>
    </w:p>
    <w:p>
      <w:pPr>
        <w:pStyle w:val="ListBullet"/>
      </w:pPr>
      <w:r>
        <w:rPr>
          <w:rFonts w:ascii="Calibri" w:hAnsi="Calibri"/>
          <w:b/>
          <w:color w:val="2B2B2B"/>
          <w:sz w:val="22"/>
        </w:rPr>
        <w:t>H1 (nivel de madurez desigual, no uniformemente bajo).</w:t>
      </w:r>
      <w:r>
        <w:rPr>
          <w:rFonts w:ascii="Calibri" w:hAnsi="Calibri"/>
          <w:b w:val="0"/>
          <w:color w:val="2B2B2B"/>
          <w:sz w:val="22"/>
        </w:rPr>
        <w:t xml:space="preserve"> En las organizaciones participantes, la</w:t>
      </w:r>
    </w:p>
    <w:p>
      <w:r>
        <w:rPr>
          <w:rFonts w:ascii="Calibri" w:hAnsi="Calibri"/>
          <w:b w:val="0"/>
          <w:color w:val="2B2B2B"/>
          <w:sz w:val="22"/>
        </w:rPr>
        <w:t xml:space="preserve">madurez será </w:t>
      </w:r>
      <w:r>
        <w:rPr>
          <w:rFonts w:ascii="Calibri" w:hAnsi="Calibri"/>
          <w:b/>
          <w:color w:val="2B2B2B"/>
          <w:sz w:val="22"/>
        </w:rPr>
        <w:t>mayor en las dimensiones con presión comercial o contractual visible</w:t>
      </w:r>
      <w:r>
        <w:rPr>
          <w:rFonts w:ascii="Calibri" w:hAnsi="Calibri"/>
          <w:b w:val="0"/>
          <w:color w:val="2B2B2B"/>
          <w:sz w:val="22"/>
        </w:rPr>
        <w:t xml:space="preserve"> —autorización de</w:t>
      </w:r>
    </w:p>
    <w:p>
      <w:r>
        <w:rPr>
          <w:rFonts w:ascii="Calibri" w:hAnsi="Calibri"/>
          <w:b w:val="0"/>
          <w:color w:val="2B2B2B"/>
          <w:sz w:val="22"/>
        </w:rPr>
        <w:t>los titulares, declaración de finalidad, aviso de privacidad— y **menor en las dimensiones internas y</w:t>
      </w:r>
    </w:p>
    <w:p>
      <w:r>
        <w:rPr>
          <w:rFonts w:ascii="Calibri" w:hAnsi="Calibri"/>
          <w:b w:val="0"/>
          <w:color w:val="2B2B2B"/>
          <w:sz w:val="22"/>
        </w:rPr>
        <w:t>sin interlocutor externo que las reclame**: gestión de identidades y accesos, respaldos verificados,</w:t>
      </w:r>
    </w:p>
    <w:p>
      <w:r>
        <w:rPr>
          <w:rFonts w:ascii="Calibri" w:hAnsi="Calibri"/>
          <w:b w:val="0"/>
          <w:color w:val="2B2B2B"/>
          <w:sz w:val="22"/>
        </w:rPr>
        <w:t>y registro y revisión de eventos. *Se refuta* si la diferencia entre esos dos bloques de dimensiones no</w:t>
      </w:r>
    </w:p>
    <w:p>
      <w:r>
        <w:rPr>
          <w:rFonts w:ascii="Calibri" w:hAnsi="Calibri"/>
          <w:b w:val="0"/>
          <w:color w:val="2B2B2B"/>
          <w:sz w:val="22"/>
        </w:rPr>
        <w:t>se observa, o si su signo es el contrario. La hipótesis importa porque, si se sostiene, indica que la</w:t>
      </w:r>
    </w:p>
    <w:p>
      <w:r>
        <w:rPr>
          <w:rFonts w:ascii="Calibri" w:hAnsi="Calibri"/>
          <w:b w:val="0"/>
          <w:color w:val="2B2B2B"/>
          <w:sz w:val="22"/>
        </w:rPr>
        <w:t>prioridad de intervención no es informativa sino operativa; si se refuta, el modelo de buenas prácticas</w:t>
      </w:r>
    </w:p>
    <w:p>
      <w:r>
        <w:rPr>
          <w:rFonts w:ascii="Calibri" w:hAnsi="Calibri"/>
          <w:b w:val="0"/>
          <w:color w:val="2B2B2B"/>
          <w:sz w:val="22"/>
        </w:rPr>
        <w:t>debe reordenar sus prioridades y así se reportará.</w:t>
      </w:r>
    </w:p>
    <w:p>
      <w:pPr>
        <w:pStyle w:val="ListBullet"/>
      </w:pPr>
      <w:r>
        <w:rPr>
          <w:rFonts w:ascii="Calibri" w:hAnsi="Calibri"/>
          <w:b/>
          <w:color w:val="2B2B2B"/>
          <w:sz w:val="22"/>
        </w:rPr>
        <w:t>H2 (brecha entre lo declarado y lo registrado).</w:t>
      </w:r>
      <w:r>
        <w:rPr>
          <w:rFonts w:ascii="Calibri" w:hAnsi="Calibri"/>
          <w:b w:val="0"/>
          <w:color w:val="2B2B2B"/>
          <w:sz w:val="22"/>
        </w:rPr>
        <w:t xml:space="preserve"> En al menos una de las organizaciones, el análisis</w:t>
      </w:r>
    </w:p>
    <w:p>
      <w:r>
        <w:rPr>
          <w:rFonts w:ascii="Calibri" w:hAnsi="Calibri"/>
          <w:b w:val="0"/>
          <w:color w:val="2B2B2B"/>
          <w:sz w:val="22"/>
        </w:rPr>
        <w:t>de los registros de acceso revelará **al menos un hallazgo relevante que la autoevaluación no había</w:t>
      </w:r>
    </w:p>
    <w:p>
      <w:r>
        <w:rPr>
          <w:rFonts w:ascii="Calibri" w:hAnsi="Calibri"/>
          <w:b w:val="0"/>
          <w:color w:val="2B2B2B"/>
          <w:sz w:val="22"/>
        </w:rPr>
        <w:t>declarado** (por ejemplo, cuentas activas de personal retirado, credenciales compartidas o accesos</w:t>
      </w:r>
    </w:p>
    <w:p>
      <w:r>
        <w:rPr>
          <w:rFonts w:ascii="Calibri" w:hAnsi="Calibri"/>
          <w:b w:val="0"/>
          <w:color w:val="2B2B2B"/>
          <w:sz w:val="22"/>
        </w:rPr>
        <w:t>fuera del horario de operación). *Se refuta* si en ninguna organización el análisis de registros añade</w:t>
      </w:r>
    </w:p>
    <w:p>
      <w:r>
        <w:rPr>
          <w:rFonts w:ascii="Calibri" w:hAnsi="Calibri"/>
          <w:b w:val="0"/>
          <w:color w:val="2B2B2B"/>
          <w:sz w:val="22"/>
        </w:rPr>
        <w:t>hallazgos a los del cuestionario, lo cual sería un resultado informativo y económicamente relevante:</w:t>
      </w:r>
    </w:p>
    <w:p>
      <w:r>
        <w:rPr>
          <w:rFonts w:ascii="Calibri" w:hAnsi="Calibri"/>
          <w:b w:val="0"/>
          <w:color w:val="2B2B2B"/>
          <w:sz w:val="22"/>
        </w:rPr>
        <w:t>significaría que, a esta escala, el diagnóstico declarativo basta y el componente técnico no se</w:t>
      </w:r>
    </w:p>
    <w:p>
      <w:r>
        <w:rPr>
          <w:rFonts w:ascii="Calibri" w:hAnsi="Calibri"/>
          <w:b w:val="0"/>
          <w:color w:val="2B2B2B"/>
          <w:sz w:val="22"/>
        </w:rPr>
        <w:t>justifica.</w:t>
      </w:r>
    </w:p>
    <w:p>
      <w:pPr>
        <w:pStyle w:val="ListBullet"/>
      </w:pPr>
      <w:r>
        <w:rPr>
          <w:rFonts w:ascii="Calibri" w:hAnsi="Calibri"/>
          <w:b/>
          <w:color w:val="2B2B2B"/>
          <w:sz w:val="22"/>
        </w:rPr>
        <w:t>H3 (aplicabilidad del modelo con recursos propios).</w:t>
      </w:r>
      <w:r>
        <w:rPr>
          <w:rFonts w:ascii="Calibri" w:hAnsi="Calibri"/>
          <w:b w:val="0"/>
          <w:color w:val="2B2B2B"/>
          <w:sz w:val="22"/>
        </w:rPr>
        <w:t xml:space="preserve"> Al menos el </w:t>
      </w:r>
      <w:r>
        <w:rPr>
          <w:rFonts w:ascii="Calibri" w:hAnsi="Calibri"/>
          <w:b/>
          <w:color w:val="2B2B2B"/>
          <w:sz w:val="22"/>
        </w:rPr>
        <w:t>70 %</w:t>
      </w:r>
      <w:r>
        <w:rPr>
          <w:rFonts w:ascii="Calibri" w:hAnsi="Calibri"/>
          <w:b w:val="0"/>
          <w:color w:val="2B2B2B"/>
          <w:sz w:val="22"/>
        </w:rPr>
        <w:t xml:space="preserve"> de las recomendaciones del</w:t>
      </w:r>
    </w:p>
    <w:p>
      <w:r>
        <w:rPr>
          <w:rFonts w:ascii="Calibri" w:hAnsi="Calibri"/>
          <w:b w:val="0"/>
          <w:color w:val="2B2B2B"/>
          <w:sz w:val="22"/>
        </w:rPr>
        <w:t>modelo de buenas prácticas será calificado por los representantes de las organizaciones como aplicable</w:t>
      </w:r>
    </w:p>
    <w:p>
      <w:r>
        <w:rPr>
          <w:rFonts w:ascii="Calibri" w:hAnsi="Calibri"/>
          <w:b w:val="0"/>
          <w:color w:val="2B2B2B"/>
          <w:sz w:val="22"/>
        </w:rPr>
        <w:t>con los recursos que ya tienen —sin contratar personal ni adquirir licencias—. *Se refuta* si la</w:t>
      </w:r>
    </w:p>
    <w:p>
      <w:r>
        <w:rPr>
          <w:rFonts w:ascii="Calibri" w:hAnsi="Calibri"/>
          <w:b w:val="0"/>
          <w:color w:val="2B2B2B"/>
          <w:sz w:val="22"/>
        </w:rPr>
        <w:t>proporción queda por debajo de ese umbral, lo que indicaría que el modelo, pese a estar derivado de</w:t>
      </w:r>
    </w:p>
    <w:p>
      <w:r>
        <w:rPr>
          <w:rFonts w:ascii="Calibri" w:hAnsi="Calibri"/>
          <w:b w:val="0"/>
          <w:color w:val="2B2B2B"/>
          <w:sz w:val="22"/>
        </w:rPr>
        <w:t>marcos pensados para organizaciones pequeñas, sigue siendo inaplicable a esta escala; en ese caso el</w:t>
      </w:r>
    </w:p>
    <w:p>
      <w:r>
        <w:rPr>
          <w:rFonts w:ascii="Calibri" w:hAnsi="Calibri"/>
          <w:b w:val="0"/>
          <w:color w:val="2B2B2B"/>
          <w:sz w:val="22"/>
        </w:rPr>
        <w:t>hallazgo se reporta como tal y se documenta qué recomendaciones fueron rechazadas y por qué, que es</w:t>
      </w:r>
    </w:p>
    <w:p>
      <w:r>
        <w:rPr>
          <w:rFonts w:ascii="Calibri" w:hAnsi="Calibri"/>
          <w:b w:val="0"/>
          <w:color w:val="2B2B2B"/>
          <w:sz w:val="22"/>
        </w:rPr>
        <w:t>información más útil que un modelo que nadie usará.</w:t>
      </w:r>
    </w:p>
    <w:p>
      <w:pPr>
        <w:pStyle w:val="ListBullet"/>
      </w:pPr>
      <w:r>
        <w:rPr>
          <w:rFonts w:ascii="Calibri" w:hAnsi="Calibri"/>
          <w:b/>
          <w:color w:val="2B2B2B"/>
          <w:sz w:val="22"/>
        </w:rPr>
        <w:t>H4 (desempeño del prototipo).</w:t>
      </w:r>
      <w:r>
        <w:rPr>
          <w:rFonts w:ascii="Calibri" w:hAnsi="Calibri"/>
          <w:b w:val="0"/>
          <w:color w:val="2B2B2B"/>
          <w:sz w:val="22"/>
        </w:rPr>
        <w:t xml:space="preserve"> Sobre los registros con anomalías inyectadas de referencia conocida,</w:t>
      </w:r>
    </w:p>
    <w:p>
      <w:r>
        <w:rPr>
          <w:rFonts w:ascii="Calibri" w:hAnsi="Calibri"/>
          <w:b w:val="0"/>
          <w:color w:val="2B2B2B"/>
          <w:sz w:val="22"/>
        </w:rPr>
        <w:t xml:space="preserve">el detector no supervisado recuperará </w:t>
      </w:r>
      <w:r>
        <w:rPr>
          <w:rFonts w:ascii="Calibri" w:hAnsi="Calibri"/>
          <w:b/>
          <w:color w:val="2B2B2B"/>
          <w:sz w:val="22"/>
        </w:rPr>
        <w:t>al menos el 70 %</w:t>
      </w:r>
      <w:r>
        <w:rPr>
          <w:rFonts w:ascii="Calibri" w:hAnsi="Calibri"/>
          <w:b w:val="0"/>
          <w:color w:val="2B2B2B"/>
          <w:sz w:val="22"/>
        </w:rPr>
        <w:t xml:space="preserve"> de las anomalías inyectadas con una</w:t>
      </w:r>
    </w:p>
    <w:p>
      <w:r>
        <w:rPr>
          <w:rFonts w:ascii="Calibri" w:hAnsi="Calibri"/>
          <w:b w:val="0"/>
          <w:color w:val="2B2B2B"/>
          <w:sz w:val="22"/>
        </w:rPr>
        <w:t xml:space="preserve">proporción de falsas alarmas </w:t>
      </w:r>
      <w:r>
        <w:rPr>
          <w:rFonts w:ascii="Calibri" w:hAnsi="Calibri"/>
          <w:b/>
          <w:color w:val="2B2B2B"/>
          <w:sz w:val="22"/>
        </w:rPr>
        <w:t>no superior al 5 %</w:t>
      </w:r>
      <w:r>
        <w:rPr>
          <w:rFonts w:ascii="Calibri" w:hAnsi="Calibri"/>
          <w:b w:val="0"/>
          <w:color w:val="2B2B2B"/>
          <w:sz w:val="22"/>
        </w:rPr>
        <w:t xml:space="preserve"> de los registros analizados. *Se refuta* si no</w:t>
      </w:r>
    </w:p>
    <w:p>
      <w:r>
        <w:rPr>
          <w:rFonts w:ascii="Calibri" w:hAnsi="Calibri"/>
          <w:b w:val="0"/>
          <w:color w:val="2B2B2B"/>
          <w:sz w:val="22"/>
        </w:rPr>
        <w:t>alcanza cualquiera de los dos umbrales. El segundo umbral es tan vinculante como el primero: un</w:t>
      </w:r>
    </w:p>
    <w:p>
      <w:r>
        <w:rPr>
          <w:rFonts w:ascii="Calibri" w:hAnsi="Calibri"/>
          <w:b w:val="0"/>
          <w:color w:val="2B2B2B"/>
          <w:sz w:val="22"/>
        </w:rPr>
        <w:t>detector que recupera todo pero inunda de alertas es inutilizable en una organización donde nadie tiene</w:t>
      </w:r>
    </w:p>
    <w:p>
      <w:r>
        <w:rPr>
          <w:rFonts w:ascii="Calibri" w:hAnsi="Calibri"/>
          <w:b w:val="0"/>
          <w:color w:val="2B2B2B"/>
          <w:sz w:val="22"/>
        </w:rPr>
        <w:t>asignada la tarea de revisarlas, y presentarlo como logro sería engañoso.</w:t>
      </w:r>
    </w:p>
    <w:p>
      <w:pPr>
        <w:pStyle w:val="ListBullet"/>
      </w:pPr>
      <w:r>
        <w:rPr>
          <w:rFonts w:ascii="Calibri" w:hAnsi="Calibri"/>
          <w:b/>
          <w:color w:val="2B2B2B"/>
          <w:sz w:val="22"/>
        </w:rPr>
        <w:t>H5 (aporte del aprendizaje automático sobre reglas simples).</w:t>
      </w:r>
      <w:r>
        <w:rPr>
          <w:rFonts w:ascii="Calibri" w:hAnsi="Calibri"/>
          <w:b w:val="0"/>
          <w:color w:val="2B2B2B"/>
          <w:sz w:val="22"/>
        </w:rPr>
        <w:t xml:space="preserve"> El detector no supervisado superará al</w:t>
      </w:r>
    </w:p>
    <w:p>
      <w:r>
        <w:rPr>
          <w:rFonts w:ascii="Calibri" w:hAnsi="Calibri"/>
          <w:b w:val="0"/>
          <w:color w:val="2B2B2B"/>
          <w:sz w:val="22"/>
        </w:rPr>
        <w:t xml:space="preserve">detector estadístico de referencia en la recuperación de </w:t>
      </w:r>
      <w:r>
        <w:rPr>
          <w:rFonts w:ascii="Calibri" w:hAnsi="Calibri"/>
          <w:b/>
          <w:color w:val="2B2B2B"/>
          <w:sz w:val="22"/>
        </w:rPr>
        <w:t>al menos una</w:t>
      </w:r>
      <w:r>
        <w:rPr>
          <w:rFonts w:ascii="Calibri" w:hAnsi="Calibri"/>
          <w:b w:val="0"/>
          <w:color w:val="2B2B2B"/>
          <w:sz w:val="22"/>
        </w:rPr>
        <w:t xml:space="preserve"> de las clases de anomalía</w:t>
      </w:r>
    </w:p>
    <w:p>
      <w:r>
        <w:rPr>
          <w:rFonts w:ascii="Calibri" w:hAnsi="Calibri"/>
          <w:b w:val="0"/>
          <w:color w:val="2B2B2B"/>
          <w:sz w:val="22"/>
        </w:rPr>
        <w:t>inyectada, con el mismo presupuesto de falsas alarmas. *Se refuta* si el detector de referencia iguala</w:t>
      </w:r>
    </w:p>
    <w:p>
      <w:r>
        <w:rPr>
          <w:rFonts w:ascii="Calibri" w:hAnsi="Calibri"/>
          <w:b w:val="0"/>
          <w:color w:val="2B2B2B"/>
          <w:sz w:val="22"/>
        </w:rPr>
        <w:t>o supera al modelo no supervisado en todas las clases. Esta proposición es exploratoria y **su</w:t>
      </w:r>
    </w:p>
    <w:p>
      <w:r>
        <w:rPr>
          <w:rFonts w:ascii="Calibri" w:hAnsi="Calibri"/>
          <w:b w:val="0"/>
          <w:color w:val="2B2B2B"/>
          <w:sz w:val="22"/>
        </w:rPr>
        <w:t>refutación es un resultado valioso, no un fracaso**: acotaría con evidencia local qué aporta realmente</w:t>
      </w:r>
    </w:p>
    <w:p>
      <w:r>
        <w:rPr>
          <w:rFonts w:ascii="Calibri" w:hAnsi="Calibri"/>
          <w:b w:val="0"/>
          <w:color w:val="2B2B2B"/>
          <w:sz w:val="22"/>
        </w:rPr>
        <w:t>el aprendizaje automático a esta escala de organización, en un contexto donde se le atribuye por</w:t>
      </w:r>
    </w:p>
    <w:p>
      <w:r>
        <w:rPr>
          <w:rFonts w:ascii="Calibri" w:hAnsi="Calibri"/>
          <w:b w:val="0"/>
          <w:color w:val="2B2B2B"/>
          <w:sz w:val="22"/>
        </w:rPr>
        <w:t>defecto una superioridad que rara vez se mide.</w:t>
      </w:r>
    </w:p>
    <w:p>
      <w:r>
        <w:rPr>
          <w:rFonts w:ascii="Calibri" w:hAnsi="Calibri"/>
          <w:b/>
          <w:color w:val="2B2B2B"/>
          <w:sz w:val="22"/>
        </w:rPr>
        <w:t>Límite de inferencia declarado por adelantado.</w:t>
      </w:r>
      <w:r>
        <w:rPr>
          <w:rFonts w:ascii="Calibri" w:hAnsi="Calibri"/>
          <w:b w:val="0"/>
          <w:color w:val="2B2B2B"/>
          <w:sz w:val="22"/>
        </w:rPr>
        <w:t xml:space="preserve"> Con tres a cinco organizaciones seleccionadas por</w:t>
      </w:r>
    </w:p>
    <w:p>
      <w:r>
        <w:rPr>
          <w:rFonts w:ascii="Calibri" w:hAnsi="Calibri"/>
          <w:b w:val="0"/>
          <w:color w:val="2B2B2B"/>
          <w:sz w:val="22"/>
        </w:rPr>
        <w:t xml:space="preserve">criterio y por disponibilidad, </w:t>
      </w:r>
      <w:r>
        <w:rPr>
          <w:rFonts w:ascii="Calibri" w:hAnsi="Calibri"/>
          <w:b/>
          <w:color w:val="2B2B2B"/>
          <w:sz w:val="22"/>
        </w:rPr>
        <w:t>el estudio no tiene potencia para hacer inferencia sobre el sector</w:t>
      </w:r>
      <w:r>
        <w:rPr>
          <w:rFonts w:ascii="Calibri" w:hAnsi="Calibri"/>
          <w:b w:val="0"/>
          <w:color w:val="2B2B2B"/>
          <w:sz w:val="22"/>
        </w:rPr>
        <w:t>.</w:t>
      </w:r>
    </w:p>
    <w:p>
      <w:r>
        <w:rPr>
          <w:rFonts w:ascii="Calibri" w:hAnsi="Calibri"/>
          <w:b w:val="0"/>
          <w:color w:val="2B2B2B"/>
          <w:sz w:val="22"/>
        </w:rPr>
        <w:t>H1, H2 y H3 se contrastan de forma descriptiva —proporciones y comparación de perfiles por dimensión, sin</w:t>
      </w:r>
    </w:p>
    <w:p>
      <w:r>
        <w:rPr>
          <w:rFonts w:ascii="Calibri" w:hAnsi="Calibri"/>
          <w:b w:val="0"/>
          <w:color w:val="2B2B2B"/>
          <w:sz w:val="22"/>
        </w:rPr>
        <w:t>pruebas de significación que la muestra no soporta— y sus resultados describen a las organizaciones</w:t>
      </w:r>
    </w:p>
    <w:p>
      <w:r>
        <w:rPr>
          <w:rFonts w:ascii="Calibri" w:hAnsi="Calibri"/>
          <w:b w:val="0"/>
          <w:color w:val="2B2B2B"/>
          <w:sz w:val="22"/>
        </w:rPr>
        <w:t>participantes. H4 y H5 sí admiten contraste cuantitativo, porque su unidad de análisis no es la</w:t>
      </w:r>
    </w:p>
    <w:p>
      <w:r>
        <w:rPr>
          <w:rFonts w:ascii="Calibri" w:hAnsi="Calibri"/>
          <w:b w:val="0"/>
          <w:color w:val="2B2B2B"/>
          <w:sz w:val="22"/>
        </w:rPr>
        <w:t>organización sino el registro y la anomalía inyectada, cuyo número se controla por diseño. Esta</w:t>
      </w:r>
    </w:p>
    <w:p>
      <w:r>
        <w:rPr>
          <w:rFonts w:ascii="Calibri" w:hAnsi="Calibri"/>
          <w:b w:val="0"/>
          <w:color w:val="2B2B2B"/>
          <w:sz w:val="22"/>
        </w:rPr>
        <w:t>distinción se mantiene en el reporte de resultados y no se difumina.</w:t>
      </w:r>
    </w:p>
    <w:p>
      <w:pPr>
        <w:spacing w:before="200" w:after="60"/>
      </w:pPr>
      <w:r>
        <w:rPr>
          <w:rFonts w:ascii="Calibri" w:hAnsi="Calibri"/>
          <w:b/>
          <w:color w:val="007433"/>
          <w:sz w:val="32"/>
        </w:rPr>
        <w:t>Marco teórico</w:t>
      </w:r>
    </w:p>
    <w:p>
      <w:r>
        <w:rPr>
          <w:rFonts w:ascii="Calibri" w:hAnsi="Calibri"/>
          <w:b w:val="0"/>
          <w:color w:val="2B2B2B"/>
          <w:sz w:val="22"/>
        </w:rPr>
        <w:t xml:space="preserve">*(Extensión exigida por el formato: 1.500 a 2.000 palabras. Conteo real verificado con </w:t>
      </w:r>
      <w:r>
        <w:rPr>
          <w:rFonts w:ascii="Consolas" w:hAnsi="Consolas"/>
          <w:color w:val="111111"/>
          <w:sz w:val="21"/>
        </w:rPr>
        <w:t>wc -w</w:t>
      </w:r>
      <w:r>
        <w:rPr>
          <w:rFonts w:ascii="Calibri" w:hAnsi="Calibri"/>
          <w:b w:val="0"/>
          <w:color w:val="2B2B2B"/>
          <w:sz w:val="22"/>
        </w:rPr>
        <w:t xml:space="preserve"> sobre</w:t>
      </w:r>
    </w:p>
    <w:p>
      <w:r>
        <w:rPr>
          <w:rFonts w:ascii="Calibri" w:hAnsi="Calibri"/>
          <w:b w:val="0"/>
          <w:color w:val="2B2B2B"/>
          <w:sz w:val="22"/>
        </w:rPr>
        <w:t xml:space="preserve">el texto de esta sección, excluidos el encabezado y este paréntesis: </w:t>
      </w:r>
      <w:r>
        <w:rPr>
          <w:rFonts w:ascii="Calibri" w:hAnsi="Calibri"/>
          <w:b/>
          <w:color w:val="2B2B2B"/>
          <w:sz w:val="22"/>
        </w:rPr>
        <w:t>1.989 palabras</w:t>
      </w:r>
      <w:r>
        <w:rPr>
          <w:rFonts w:ascii="Calibri" w:hAnsi="Calibri"/>
          <w:b w:val="0"/>
          <w:color w:val="2B2B2B"/>
          <w:sz w:val="22"/>
        </w:rPr>
        <w:t>.)*</w:t>
      </w:r>
    </w:p>
    <w:p>
      <w:r>
        <w:rPr>
          <w:rFonts w:ascii="Calibri" w:hAnsi="Calibri"/>
          <w:b w:val="0"/>
          <w:color w:val="2B2B2B"/>
          <w:sz w:val="22"/>
        </w:rPr>
        <w:t>Este marco no inventaria literatura: construye el argumento que hace necesaria la metodología que</w:t>
      </w:r>
    </w:p>
    <w:p>
      <w:r>
        <w:rPr>
          <w:rFonts w:ascii="Calibri" w:hAnsi="Calibri"/>
          <w:b w:val="0"/>
          <w:color w:val="2B2B2B"/>
          <w:sz w:val="22"/>
        </w:rPr>
        <w:t>sigue, en cuatro tesis. El deber legal de proteger datos personales en Colombia es indiferente al tamaño</w:t>
      </w:r>
    </w:p>
    <w:p>
      <w:r>
        <w:rPr>
          <w:rFonts w:ascii="Calibri" w:hAnsi="Calibri"/>
          <w:b w:val="0"/>
          <w:color w:val="2B2B2B"/>
          <w:sz w:val="22"/>
        </w:rPr>
        <w:t>del responsable, lo que abre una asimetría entre obligación y capacidad. Los marcos técnicos de control</w:t>
      </w:r>
    </w:p>
    <w:p>
      <w:r>
        <w:rPr>
          <w:rFonts w:ascii="Calibri" w:hAnsi="Calibri"/>
          <w:b w:val="0"/>
          <w:color w:val="2B2B2B"/>
          <w:sz w:val="22"/>
        </w:rPr>
        <w:t>están graduados, pero no traducidos a ese deber local. "Madurez" es un constructo cuyos supuestos deben</w:t>
      </w:r>
    </w:p>
    <w:p>
      <w:r>
        <w:rPr>
          <w:rFonts w:ascii="Calibri" w:hAnsi="Calibri"/>
          <w:b w:val="0"/>
          <w:color w:val="2B2B2B"/>
          <w:sz w:val="22"/>
        </w:rPr>
        <w:t>explicitarse antes de medirlo, y su medición por personas exige validez de contenido y acuerdo entre</w:t>
      </w:r>
    </w:p>
    <w:p>
      <w:r>
        <w:rPr>
          <w:rFonts w:ascii="Calibri" w:hAnsi="Calibri"/>
          <w:b w:val="0"/>
          <w:color w:val="2B2B2B"/>
          <w:sz w:val="22"/>
        </w:rPr>
        <w:t>calificadores. Y la detección automática de anomalías cubre el punto ciego de la autoevaluación solo</w:t>
      </w:r>
    </w:p>
    <w:p>
      <w:r>
        <w:rPr>
          <w:rFonts w:ascii="Calibri" w:hAnsi="Calibri"/>
          <w:b w:val="0"/>
          <w:color w:val="2B2B2B"/>
          <w:sz w:val="22"/>
        </w:rPr>
        <w:t>bajo condiciones de evaluación que la literatura de seguridad ya fijó y que rara vez se respetan.</w:t>
      </w:r>
    </w:p>
    <w:p>
      <w:pPr>
        <w:spacing w:before="200" w:after="60"/>
      </w:pPr>
      <w:r>
        <w:rPr>
          <w:rFonts w:ascii="Calibri" w:hAnsi="Calibri"/>
          <w:b/>
          <w:color w:val="007433"/>
          <w:sz w:val="32"/>
        </w:rPr>
        <w:t>El deber de proteger datos personales no se gradúa por tamaño de la organización</w:t>
      </w:r>
    </w:p>
    <w:p>
      <w:r>
        <w:rPr>
          <w:rFonts w:ascii="Calibri" w:hAnsi="Calibri"/>
          <w:b w:val="0"/>
          <w:color w:val="2B2B2B"/>
          <w:sz w:val="22"/>
        </w:rPr>
        <w:t>El régimen colombiano se articula sobre la Ley Estatutaria 1581 de 2012 [6] —principios de legalidad,</w:t>
      </w:r>
    </w:p>
    <w:p>
      <w:r>
        <w:rPr>
          <w:rFonts w:ascii="Calibri" w:hAnsi="Calibri"/>
          <w:b w:val="0"/>
          <w:color w:val="2B2B2B"/>
          <w:sz w:val="22"/>
        </w:rPr>
        <w:t>finalidad, libertad, veracidad, transparencia, acceso restringido, seguridad y confidencialidad,</w:t>
      </w:r>
    </w:p>
    <w:p>
      <w:r>
        <w:rPr>
          <w:rFonts w:ascii="Calibri" w:hAnsi="Calibri"/>
          <w:b w:val="0"/>
          <w:color w:val="2B2B2B"/>
          <w:sz w:val="22"/>
        </w:rPr>
        <w:t>derechos de los titulares y deberes de responsables y encargados— y su decreto reglamentario 1377 de</w:t>
      </w:r>
    </w:p>
    <w:p>
      <w:r>
        <w:rPr>
          <w:rFonts w:ascii="Calibri" w:hAnsi="Calibri"/>
          <w:b w:val="0"/>
          <w:color w:val="2B2B2B"/>
          <w:sz w:val="22"/>
        </w:rPr>
        <w:t>2013 [7], que convierte varios de esos deberes en artefactos verificables: autorización previa e</w:t>
      </w:r>
    </w:p>
    <w:p>
      <w:r>
        <w:rPr>
          <w:rFonts w:ascii="Calibri" w:hAnsi="Calibri"/>
          <w:b w:val="0"/>
          <w:color w:val="2B2B2B"/>
          <w:sz w:val="22"/>
        </w:rPr>
        <w:t>informada, aviso de privacidad, política interna de tratamiento y atención de consultas y reclamos. La</w:t>
      </w:r>
    </w:p>
    <w:p>
      <w:r>
        <w:rPr>
          <w:rFonts w:ascii="Calibri" w:hAnsi="Calibri"/>
          <w:b w:val="0"/>
          <w:color w:val="2B2B2B"/>
          <w:sz w:val="22"/>
        </w:rPr>
        <w:t>Ley 1273 de 2009 [8] añade la dimensión penal —acceso abusivo a un sistema informático, violación de</w:t>
      </w:r>
    </w:p>
    <w:p>
      <w:r>
        <w:rPr>
          <w:rFonts w:ascii="Calibri" w:hAnsi="Calibri"/>
          <w:b w:val="0"/>
          <w:color w:val="2B2B2B"/>
          <w:sz w:val="22"/>
        </w:rPr>
        <w:t>datos personales—, de modo que omitir controles no es solo un incumplimiento administrativo, y el CONPES</w:t>
      </w:r>
    </w:p>
    <w:p>
      <w:r>
        <w:rPr>
          <w:rFonts w:ascii="Calibri" w:hAnsi="Calibri"/>
          <w:b w:val="0"/>
          <w:color w:val="2B2B2B"/>
          <w:sz w:val="22"/>
        </w:rPr>
        <w:t>3995 de 2020 [9] admite institucionalmente que las capacidades de seguridad digital no están</w:t>
      </w:r>
    </w:p>
    <w:p>
      <w:r>
        <w:rPr>
          <w:rFonts w:ascii="Calibri" w:hAnsi="Calibri"/>
          <w:b w:val="0"/>
          <w:color w:val="2B2B2B"/>
          <w:sz w:val="22"/>
        </w:rPr>
        <w:t>distribuidas de manera homogénea en el tejido empresarial.</w:t>
      </w:r>
    </w:p>
    <w:p>
      <w:r>
        <w:rPr>
          <w:rFonts w:ascii="Calibri" w:hAnsi="Calibri"/>
          <w:b w:val="0"/>
          <w:color w:val="2B2B2B"/>
          <w:sz w:val="22"/>
        </w:rPr>
        <w:t>Ninguna de esas normas gradúa el contenido esencial del deber según el tamaño del responsable, y esa es</w:t>
      </w:r>
    </w:p>
    <w:p>
      <w:r>
        <w:rPr>
          <w:rFonts w:ascii="Calibri" w:hAnsi="Calibri"/>
          <w:b w:val="0"/>
          <w:color w:val="2B2B2B"/>
          <w:sz w:val="22"/>
        </w:rPr>
        <w:t>la premisa teórica de la propuesta. La clasificación del tamaño empresarial en Colombia se define por</w:t>
      </w:r>
    </w:p>
    <w:p>
      <w:r>
        <w:rPr>
          <w:rFonts w:ascii="Calibri" w:hAnsi="Calibri"/>
          <w:b w:val="0"/>
          <w:color w:val="2B2B2B"/>
          <w:sz w:val="22"/>
        </w:rPr>
        <w:t>ingresos de la actividad ordinaria [13], no por el volumen ni la sensibilidad de los datos tratados: una</w:t>
      </w:r>
    </w:p>
    <w:p>
      <w:r>
        <w:rPr>
          <w:rFonts w:ascii="Calibri" w:hAnsi="Calibri"/>
          <w:b w:val="0"/>
          <w:color w:val="2B2B2B"/>
          <w:sz w:val="22"/>
        </w:rPr>
        <w:t>microempresa puede administrar una base de miles de titulares. El derecho comparado muestra que la</w:t>
      </w:r>
    </w:p>
    <w:p>
      <w:r>
        <w:rPr>
          <w:rFonts w:ascii="Calibri" w:hAnsi="Calibri"/>
          <w:b w:val="0"/>
          <w:color w:val="2B2B2B"/>
          <w:sz w:val="22"/>
        </w:rPr>
        <w:t>asimetría resultante es tratable: el Reglamento (UE) 2016/679 [14] consagra la responsabilidad</w:t>
      </w:r>
    </w:p>
    <w:p>
      <w:r>
        <w:rPr>
          <w:rFonts w:ascii="Calibri" w:hAnsi="Calibri"/>
          <w:b w:val="0"/>
          <w:color w:val="2B2B2B"/>
          <w:sz w:val="22"/>
        </w:rPr>
        <w:t>demostrable —acreditar el cumplimiento, no solo afirmarlo— y a la vez introduce proporcionalidad</w:t>
      </w:r>
    </w:p>
    <w:p>
      <w:r>
        <w:rPr>
          <w:rFonts w:ascii="Calibri" w:hAnsi="Calibri"/>
          <w:b w:val="0"/>
          <w:color w:val="2B2B2B"/>
          <w:sz w:val="22"/>
        </w:rPr>
        <w:t>limitada, como eximir de llevar registro de actividades de tratamiento por debajo de doscientos</w:t>
      </w:r>
    </w:p>
    <w:p>
      <w:r>
        <w:rPr>
          <w:rFonts w:ascii="Calibri" w:hAnsi="Calibri"/>
          <w:b w:val="0"/>
          <w:color w:val="2B2B2B"/>
          <w:sz w:val="22"/>
        </w:rPr>
        <w:t>cincuenta empleados, salvo supuestos de riesgo. La proporcionalidad es, entonces, una decisión de diseño</w:t>
      </w:r>
    </w:p>
    <w:p>
      <w:r>
        <w:rPr>
          <w:rFonts w:ascii="Calibri" w:hAnsi="Calibri"/>
          <w:b w:val="0"/>
          <w:color w:val="2B2B2B"/>
          <w:sz w:val="22"/>
        </w:rPr>
        <w:t>regulatorio; donde no está prevista, el ajuste de escala debe producirse en los instrumentos de</w:t>
      </w:r>
    </w:p>
    <w:p>
      <w:r>
        <w:rPr>
          <w:rFonts w:ascii="Calibri" w:hAnsi="Calibri"/>
          <w:b w:val="0"/>
          <w:color w:val="2B2B2B"/>
          <w:sz w:val="22"/>
        </w:rPr>
        <w:t>cumplimiento, y ese es el espacio en el que interviene este proyecto.</w:t>
      </w:r>
    </w:p>
    <w:p>
      <w:pPr>
        <w:spacing w:before="200" w:after="60"/>
      </w:pPr>
      <w:r>
        <w:rPr>
          <w:rFonts w:ascii="Calibri" w:hAnsi="Calibri"/>
          <w:b/>
          <w:color w:val="007433"/>
          <w:sz w:val="32"/>
        </w:rPr>
        <w:t>Marcos de control de seguridad: de la norma completa al subconjunto viable</w:t>
      </w:r>
    </w:p>
    <w:p>
      <w:r>
        <w:rPr>
          <w:rFonts w:ascii="Calibri" w:hAnsi="Calibri"/>
          <w:b w:val="0"/>
          <w:color w:val="2B2B2B"/>
          <w:sz w:val="22"/>
        </w:rPr>
        <w:t>La literatura converge en un diagnóstico que no es de desconocimiento sino de escala: ENISA [1]</w:t>
      </w:r>
    </w:p>
    <w:p>
      <w:r>
        <w:rPr>
          <w:rFonts w:ascii="Calibri" w:hAnsi="Calibri"/>
          <w:b w:val="0"/>
          <w:color w:val="2B2B2B"/>
          <w:sz w:val="22"/>
        </w:rPr>
        <w:t>documenta la combinación recurrente de ausencia de rol responsable, presupuesto marginal, dependencia de</w:t>
      </w:r>
    </w:p>
    <w:p>
      <w:r>
        <w:rPr>
          <w:rFonts w:ascii="Calibri" w:hAnsi="Calibri"/>
          <w:b w:val="0"/>
          <w:color w:val="2B2B2B"/>
          <w:sz w:val="22"/>
        </w:rPr>
        <w:t>un proveedor externo y percepción de que las guías presuponen una estructura organizativa inexistente.</w:t>
      </w:r>
    </w:p>
    <w:p>
      <w:r>
        <w:rPr>
          <w:rFonts w:ascii="Calibri" w:hAnsi="Calibri"/>
          <w:b w:val="0"/>
          <w:color w:val="2B2B2B"/>
          <w:sz w:val="22"/>
        </w:rPr>
        <w:t>La respuesta de los marcos técnicos ha sido la graduación. El marco del NIST [2] organiza la gestión del</w:t>
      </w:r>
    </w:p>
    <w:p>
      <w:r>
        <w:rPr>
          <w:rFonts w:ascii="Calibri" w:hAnsi="Calibri"/>
          <w:b w:val="0"/>
          <w:color w:val="2B2B2B"/>
          <w:sz w:val="22"/>
        </w:rPr>
        <w:t>riesgo en funciones —identificar, proteger, detectar, responder, recuperar— y admite niveles de</w:t>
      </w:r>
    </w:p>
    <w:p>
      <w:r>
        <w:rPr>
          <w:rFonts w:ascii="Calibri" w:hAnsi="Calibri"/>
          <w:b w:val="0"/>
          <w:color w:val="2B2B2B"/>
          <w:sz w:val="22"/>
        </w:rPr>
        <w:t>implementación, lo que permite situarse en él sin implementarlo por completo. Los *Critical Security</w:t>
      </w:r>
    </w:p>
    <w:p>
      <w:r>
        <w:rPr>
          <w:rFonts w:ascii="Calibri" w:hAnsi="Calibri"/>
          <w:b w:val="0"/>
          <w:color w:val="2B2B2B"/>
          <w:sz w:val="22"/>
        </w:rPr>
        <w:t>Controls* del Center for Internet Security [3] llevan esa graduación a su forma más operativa mediante</w:t>
      </w:r>
    </w:p>
    <w:p>
      <w:r>
        <w:rPr>
          <w:rFonts w:ascii="Calibri" w:hAnsi="Calibri"/>
          <w:b w:val="0"/>
          <w:color w:val="2B2B2B"/>
          <w:sz w:val="22"/>
        </w:rPr>
        <w:t>grupos de implementación, con un primer grupo destinado a organizaciones de capacidad limitada, y los</w:t>
      </w:r>
    </w:p>
    <w:p>
      <w:r>
        <w:rPr>
          <w:rFonts w:ascii="Calibri" w:hAnsi="Calibri"/>
          <w:b w:val="0"/>
          <w:color w:val="2B2B2B"/>
          <w:sz w:val="22"/>
        </w:rPr>
        <w:t>fundamentos de seguridad para pequeñas empresas del NIST [15] confirman que existe un género orientado a</w:t>
      </w:r>
    </w:p>
    <w:p>
      <w:r>
        <w:rPr>
          <w:rFonts w:ascii="Calibri" w:hAnsi="Calibri"/>
          <w:b w:val="0"/>
          <w:color w:val="2B2B2B"/>
          <w:sz w:val="22"/>
        </w:rPr>
        <w:t>esta escala. Las normas ISO/IEC 27001:2022 [4] e ISO/IEC 27002:2022 [5] aportan los requisitos del</w:t>
      </w:r>
    </w:p>
    <w:p>
      <w:r>
        <w:rPr>
          <w:rFonts w:ascii="Calibri" w:hAnsi="Calibri"/>
          <w:b w:val="0"/>
          <w:color w:val="2B2B2B"/>
          <w:sz w:val="22"/>
        </w:rPr>
        <w:t>sistema de gestión y el catálogo de controles con su orientación de implementación.</w:t>
      </w:r>
    </w:p>
    <w:p>
      <w:r>
        <w:rPr>
          <w:rFonts w:ascii="Calibri" w:hAnsi="Calibri"/>
          <w:b w:val="0"/>
          <w:color w:val="2B2B2B"/>
          <w:sz w:val="22"/>
        </w:rPr>
        <w:t>El problema no es la ausencia de marcos sino la distancia entre marco y deber local. Los cuerpos citados</w:t>
      </w:r>
    </w:p>
    <w:p>
      <w:r>
        <w:rPr>
          <w:rFonts w:ascii="Calibri" w:hAnsi="Calibri"/>
          <w:b w:val="0"/>
          <w:color w:val="2B2B2B"/>
          <w:sz w:val="22"/>
        </w:rPr>
        <w:t>están escritos en clave de gestión del riesgo, en inglés y con obligaciones de referencia que no son las</w:t>
      </w:r>
    </w:p>
    <w:p>
      <w:r>
        <w:rPr>
          <w:rFonts w:ascii="Calibri" w:hAnsi="Calibri"/>
          <w:b w:val="0"/>
          <w:color w:val="2B2B2B"/>
          <w:sz w:val="22"/>
        </w:rPr>
        <w:t>colombianas; ninguno responde cuál control satisface cuál deber de la Ley 1581 de 2012. La consecuencia</w:t>
      </w:r>
    </w:p>
    <w:p>
      <w:r>
        <w:rPr>
          <w:rFonts w:ascii="Calibri" w:hAnsi="Calibri"/>
          <w:b w:val="0"/>
          <w:color w:val="2B2B2B"/>
          <w:sz w:val="22"/>
        </w:rPr>
        <w:t>metodológica es directa: un instrumento útil a esta escala no puede derivarse solo de la norma jurídica</w:t>
      </w:r>
    </w:p>
    <w:p>
      <w:r>
        <w:rPr>
          <w:rFonts w:ascii="Calibri" w:hAnsi="Calibri"/>
          <w:b w:val="0"/>
          <w:color w:val="2B2B2B"/>
          <w:sz w:val="22"/>
        </w:rPr>
        <w:t>—que enuncia deberes sin decir cómo se verifican— ni solo del estándar técnico —que enuncia controles</w:t>
      </w:r>
    </w:p>
    <w:p>
      <w:r>
        <w:rPr>
          <w:rFonts w:ascii="Calibri" w:hAnsi="Calibri"/>
          <w:b w:val="0"/>
          <w:color w:val="2B2B2B"/>
          <w:sz w:val="22"/>
        </w:rPr>
        <w:t>sin decir a qué obligación responden—, sino de una **matriz de correspondencia entre deber legal,</w:t>
      </w:r>
    </w:p>
    <w:p>
      <w:r>
        <w:rPr>
          <w:rFonts w:ascii="Calibri" w:hAnsi="Calibri"/>
          <w:b w:val="0"/>
          <w:color w:val="2B2B2B"/>
          <w:sz w:val="22"/>
        </w:rPr>
        <w:t>control del estándar e ítem verificable en sitio**. Construirla y hacerla auditable es el primer</w:t>
      </w:r>
    </w:p>
    <w:p>
      <w:r>
        <w:rPr>
          <w:rFonts w:ascii="Calibri" w:hAnsi="Calibri"/>
          <w:b w:val="0"/>
          <w:color w:val="2B2B2B"/>
          <w:sz w:val="22"/>
        </w:rPr>
        <w:t>objetivo específico: sin ella, la selección de controles sería preferencia del investigador y no</w:t>
      </w:r>
    </w:p>
    <w:p>
      <w:r>
        <w:rPr>
          <w:rFonts w:ascii="Calibri" w:hAnsi="Calibri"/>
          <w:b w:val="0"/>
          <w:color w:val="2B2B2B"/>
          <w:sz w:val="22"/>
        </w:rPr>
        <w:t>derivación defendible.</w:t>
      </w:r>
    </w:p>
    <w:p>
      <w:pPr>
        <w:spacing w:before="200" w:after="60"/>
      </w:pPr>
      <w:r>
        <w:rPr>
          <w:rFonts w:ascii="Calibri" w:hAnsi="Calibri"/>
          <w:b/>
          <w:color w:val="007433"/>
          <w:sz w:val="32"/>
        </w:rPr>
        <w:t>Madurez como constructo: qué se mide cuando se dice "nivel de madurez"</w:t>
      </w:r>
    </w:p>
    <w:p>
      <w:r>
        <w:rPr>
          <w:rFonts w:ascii="Calibri" w:hAnsi="Calibri"/>
          <w:b w:val="0"/>
          <w:color w:val="2B2B2B"/>
          <w:sz w:val="22"/>
        </w:rPr>
        <w:t>La noción de madurez proviene de la ingeniería de procesos. Humphrey [16] la formuló como una secuencia</w:t>
      </w:r>
    </w:p>
    <w:p>
      <w:r>
        <w:rPr>
          <w:rFonts w:ascii="Calibri" w:hAnsi="Calibri"/>
          <w:b w:val="0"/>
          <w:color w:val="2B2B2B"/>
          <w:sz w:val="22"/>
        </w:rPr>
        <w:t>ordenada de estadios de capacidad, con dos supuestos que conviene explicitar porque este estudio adopta</w:t>
      </w:r>
    </w:p>
    <w:p>
      <w:r>
        <w:rPr>
          <w:rFonts w:ascii="Calibri" w:hAnsi="Calibri"/>
          <w:b w:val="0"/>
          <w:color w:val="2B2B2B"/>
          <w:sz w:val="22"/>
        </w:rPr>
        <w:t>uno y rechaza el otro: que la capacidad reside en el proceso y no en el esfuerzo individual —supuesto</w:t>
      </w:r>
    </w:p>
    <w:p>
      <w:r>
        <w:rPr>
          <w:rFonts w:ascii="Calibri" w:hAnsi="Calibri"/>
          <w:b w:val="0"/>
          <w:color w:val="2B2B2B"/>
          <w:sz w:val="22"/>
        </w:rPr>
        <w:t>adoptado, y razón de exigir evidencia documental en lugar de declaración verbal— y que las</w:t>
      </w:r>
    </w:p>
    <w:p>
      <w:r>
        <w:rPr>
          <w:rFonts w:ascii="Calibri" w:hAnsi="Calibri"/>
          <w:b w:val="0"/>
          <w:color w:val="2B2B2B"/>
          <w:sz w:val="22"/>
        </w:rPr>
        <w:t>organizaciones progresan por estadios acumulativos hacia un óptimo único, que aquí no se asume. La</w:t>
      </w:r>
    </w:p>
    <w:p>
      <w:r>
        <w:rPr>
          <w:rFonts w:ascii="Calibri" w:hAnsi="Calibri"/>
          <w:b w:val="0"/>
          <w:color w:val="2B2B2B"/>
          <w:sz w:val="22"/>
        </w:rPr>
        <w:t>literatura posterior es crítica en ese punto: Becker, Knackstedt y Pöppelbuß [17] fijan requisitos de</w:t>
      </w:r>
    </w:p>
    <w:p>
      <w:r>
        <w:rPr>
          <w:rFonts w:ascii="Calibri" w:hAnsi="Calibri"/>
          <w:b w:val="0"/>
          <w:color w:val="2B2B2B"/>
          <w:sz w:val="22"/>
        </w:rPr>
        <w:t>diseño para modelos de madurez en gestión de tecnologías de información —comparación con modelos</w:t>
      </w:r>
    </w:p>
    <w:p>
      <w:r>
        <w:rPr>
          <w:rFonts w:ascii="Calibri" w:hAnsi="Calibri"/>
          <w:b w:val="0"/>
          <w:color w:val="2B2B2B"/>
          <w:sz w:val="22"/>
        </w:rPr>
        <w:t>existentes, procedimiento iterativo, evaluación empírica y documentación del proceso— y advierten que un</w:t>
      </w:r>
    </w:p>
    <w:p>
      <w:r>
        <w:rPr>
          <w:rFonts w:ascii="Calibri" w:hAnsi="Calibri"/>
          <w:b w:val="0"/>
          <w:color w:val="2B2B2B"/>
          <w:sz w:val="22"/>
        </w:rPr>
        <w:t>modelo de madurez es normativo por naturaleza: al ordenar los estadios prescribe una trayectoria</w:t>
      </w:r>
    </w:p>
    <w:p>
      <w:r>
        <w:rPr>
          <w:rFonts w:ascii="Calibri" w:hAnsi="Calibri"/>
          <w:b w:val="0"/>
          <w:color w:val="2B2B2B"/>
          <w:sz w:val="22"/>
        </w:rPr>
        <w:t>deseable.</w:t>
      </w:r>
    </w:p>
    <w:p>
      <w:r>
        <w:rPr>
          <w:rFonts w:ascii="Calibri" w:hAnsi="Calibri"/>
          <w:b w:val="0"/>
          <w:color w:val="2B2B2B"/>
          <w:sz w:val="22"/>
        </w:rPr>
        <w:t>De ahí dos decisiones de diseño. La primera, no reducir cada organización a una etiqueta global de</w:t>
      </w:r>
    </w:p>
    <w:p>
      <w:r>
        <w:rPr>
          <w:rFonts w:ascii="Calibri" w:hAnsi="Calibri"/>
          <w:b w:val="0"/>
          <w:color w:val="2B2B2B"/>
          <w:sz w:val="22"/>
        </w:rPr>
        <w:t xml:space="preserve">estadio, sino calificar </w:t>
      </w:r>
      <w:r>
        <w:rPr>
          <w:rFonts w:ascii="Calibri" w:hAnsi="Calibri"/>
          <w:b/>
          <w:color w:val="2B2B2B"/>
          <w:sz w:val="22"/>
        </w:rPr>
        <w:t>por dimensión</w:t>
      </w:r>
      <w:r>
        <w:rPr>
          <w:rFonts w:ascii="Calibri" w:hAnsi="Calibri"/>
          <w:b w:val="0"/>
          <w:color w:val="2B2B2B"/>
          <w:sz w:val="22"/>
        </w:rPr>
        <w:t xml:space="preserve"> con escala ordinal de anclas explícitas, para que el resultado</w:t>
      </w:r>
    </w:p>
    <w:p>
      <w:r>
        <w:rPr>
          <w:rFonts w:ascii="Calibri" w:hAnsi="Calibri"/>
          <w:b w:val="0"/>
          <w:color w:val="2B2B2B"/>
          <w:sz w:val="22"/>
        </w:rPr>
        <w:t>sea un perfil y no un número. La segunda, formular la desigualdad de ese perfil como hipótesis falsable</w:t>
      </w:r>
    </w:p>
    <w:p>
      <w:r>
        <w:rPr>
          <w:rFonts w:ascii="Calibri" w:hAnsi="Calibri"/>
          <w:b w:val="0"/>
          <w:color w:val="2B2B2B"/>
          <w:sz w:val="22"/>
        </w:rPr>
        <w:t>(H1) y no como supuesto: si la progresión fuera acumulativa y uniforme, como sugiere la lectura ingenua</w:t>
      </w:r>
    </w:p>
    <w:p>
      <w:r>
        <w:rPr>
          <w:rFonts w:ascii="Calibri" w:hAnsi="Calibri"/>
          <w:b w:val="0"/>
          <w:color w:val="2B2B2B"/>
          <w:sz w:val="22"/>
        </w:rPr>
        <w:t>del modelo de estadios, H1 quedaría refutada, y que pueda refutarse es lo que la convierte en</w:t>
      </w:r>
    </w:p>
    <w:p>
      <w:r>
        <w:rPr>
          <w:rFonts w:ascii="Calibri" w:hAnsi="Calibri"/>
          <w:b w:val="0"/>
          <w:color w:val="2B2B2B"/>
          <w:sz w:val="22"/>
        </w:rPr>
        <w:t>conocimiento y no en descripción.</w:t>
      </w:r>
    </w:p>
    <w:p>
      <w:pPr>
        <w:spacing w:before="200" w:after="60"/>
      </w:pPr>
      <w:r>
        <w:rPr>
          <w:rFonts w:ascii="Calibri" w:hAnsi="Calibri"/>
          <w:b/>
          <w:color w:val="007433"/>
          <w:sz w:val="32"/>
        </w:rPr>
        <w:t>Validez de contenido y acuerdo entre calificadores en un instrumento aplicado por personas</w:t>
      </w:r>
    </w:p>
    <w:p>
      <w:r>
        <w:rPr>
          <w:rFonts w:ascii="Calibri" w:hAnsi="Calibri"/>
          <w:b w:val="0"/>
          <w:color w:val="2B2B2B"/>
          <w:sz w:val="22"/>
        </w:rPr>
        <w:t>Un diagnóstico aplicado en visita es una medición hecha por seres humanos sobre evidencia parcial, y</w:t>
      </w:r>
    </w:p>
    <w:p>
      <w:r>
        <w:rPr>
          <w:rFonts w:ascii="Calibri" w:hAnsi="Calibri"/>
          <w:b w:val="0"/>
          <w:color w:val="2B2B2B"/>
          <w:sz w:val="22"/>
        </w:rPr>
        <w:t>hereda las exigencias de la teoría de la medición. La validez de contenido —que los ítems representen el</w:t>
      </w:r>
    </w:p>
    <w:p>
      <w:r>
        <w:rPr>
          <w:rFonts w:ascii="Calibri" w:hAnsi="Calibri"/>
          <w:b w:val="0"/>
          <w:color w:val="2B2B2B"/>
          <w:sz w:val="22"/>
        </w:rPr>
        <w:t>dominio que se pretende medir— se establece por juicio de expertos, y Lawshe [18] ofreció el</w:t>
      </w:r>
    </w:p>
    <w:p>
      <w:r>
        <w:rPr>
          <w:rFonts w:ascii="Calibri" w:hAnsi="Calibri"/>
          <w:b w:val="0"/>
          <w:color w:val="2B2B2B"/>
          <w:sz w:val="22"/>
        </w:rPr>
        <w:t>procedimiento canónico: un panel califica la esencialidad de cada ítem y de esas calificaciones se</w:t>
      </w:r>
    </w:p>
    <w:p>
      <w:r>
        <w:rPr>
          <w:rFonts w:ascii="Calibri" w:hAnsi="Calibri"/>
          <w:b w:val="0"/>
          <w:color w:val="2B2B2B"/>
          <w:sz w:val="22"/>
        </w:rPr>
        <w:t>deriva un índice que permite retener, reformular o descartar. Este proyecto lo aplica con tres expertos y</w:t>
      </w:r>
    </w:p>
    <w:p>
      <w:r>
        <w:rPr>
          <w:rFonts w:ascii="Calibri" w:hAnsi="Calibri"/>
          <w:b w:val="0"/>
          <w:color w:val="2B2B2B"/>
          <w:sz w:val="22"/>
        </w:rPr>
        <w:t>declara su límite: un panel pequeño reduce la estabilidad del índice, de modo que el juicio depura el</w:t>
      </w:r>
    </w:p>
    <w:p>
      <w:r>
        <w:rPr>
          <w:rFonts w:ascii="Calibri" w:hAnsi="Calibri"/>
          <w:b w:val="0"/>
          <w:color w:val="2B2B2B"/>
          <w:sz w:val="22"/>
        </w:rPr>
        <w:t>instrumento sin afirmar validez de contenido establecida.</w:t>
      </w:r>
    </w:p>
    <w:p>
      <w:r>
        <w:rPr>
          <w:rFonts w:ascii="Calibri" w:hAnsi="Calibri"/>
          <w:b w:val="0"/>
          <w:color w:val="2B2B2B"/>
          <w:sz w:val="22"/>
        </w:rPr>
        <w:t>La fiabilidad es una exigencia distinta y más severa. Krippendorff [12] muestra que en toda medición que</w:t>
      </w:r>
    </w:p>
    <w:p>
      <w:r>
        <w:rPr>
          <w:rFonts w:ascii="Calibri" w:hAnsi="Calibri"/>
          <w:b w:val="0"/>
          <w:color w:val="2B2B2B"/>
          <w:sz w:val="22"/>
        </w:rPr>
        <w:t>exige interpretación —y calificar el cumplimiento de un deber a partir de la evidencia que una</w:t>
      </w:r>
    </w:p>
    <w:p>
      <w:r>
        <w:rPr>
          <w:rFonts w:ascii="Calibri" w:hAnsi="Calibri"/>
          <w:b w:val="0"/>
          <w:color w:val="2B2B2B"/>
          <w:sz w:val="22"/>
        </w:rPr>
        <w:t>organización muestra la exige— la reproducibilidad debe estimarse con calificadores independientes y con</w:t>
      </w:r>
    </w:p>
    <w:p>
      <w:r>
        <w:rPr>
          <w:rFonts w:ascii="Calibri" w:hAnsi="Calibri"/>
          <w:b w:val="0"/>
          <w:color w:val="2B2B2B"/>
          <w:sz w:val="22"/>
        </w:rPr>
        <w:t>un estadístico que corrija el acuerdo esperado por azar. Hayes y Krippendorff [19] discuten los umbrales</w:t>
      </w:r>
    </w:p>
    <w:p>
      <w:r>
        <w:rPr>
          <w:rFonts w:ascii="Calibri" w:hAnsi="Calibri"/>
          <w:b w:val="0"/>
          <w:color w:val="2B2B2B"/>
          <w:sz w:val="22"/>
        </w:rPr>
        <w:t>de uso y sitúan valores en torno a 0,80 como base de conclusiones firmes y próximos a 0,667 como piso</w:t>
      </w:r>
    </w:p>
    <w:p>
      <w:r>
        <w:rPr>
          <w:rFonts w:ascii="Calibri" w:hAnsi="Calibri"/>
          <w:b w:val="0"/>
          <w:color w:val="2B2B2B"/>
          <w:sz w:val="22"/>
        </w:rPr>
        <w:t>para conclusiones tentativas. Este proyecto fija un umbral intermedio de 0,70 antes de recoger datos y</w:t>
      </w:r>
    </w:p>
    <w:p>
      <w:r>
        <w:rPr>
          <w:rFonts w:ascii="Calibri" w:hAnsi="Calibri"/>
          <w:b w:val="0"/>
          <w:color w:val="2B2B2B"/>
          <w:sz w:val="22"/>
        </w:rPr>
        <w:t>establece la consecuencia de no alcanzarlo: el diagnóstico se reporta como exploratorio. Fijarlo por</w:t>
      </w:r>
    </w:p>
    <w:p>
      <w:r>
        <w:rPr>
          <w:rFonts w:ascii="Calibri" w:hAnsi="Calibri"/>
          <w:b w:val="0"/>
          <w:color w:val="2B2B2B"/>
          <w:sz w:val="22"/>
        </w:rPr>
        <w:t>adelantado impide elegirlo después según el resultado, y de ahí la condición metodológica —no accesoria—</w:t>
      </w:r>
    </w:p>
    <w:p>
      <w:r>
        <w:rPr>
          <w:rFonts w:ascii="Calibri" w:hAnsi="Calibri"/>
          <w:b w:val="0"/>
          <w:color w:val="2B2B2B"/>
          <w:sz w:val="22"/>
        </w:rPr>
        <w:t>del segundo diagnosticador independiente en al menos dos organizaciones.</w:t>
      </w:r>
    </w:p>
    <w:p>
      <w:pPr>
        <w:spacing w:before="200" w:after="60"/>
      </w:pPr>
      <w:r>
        <w:rPr>
          <w:rFonts w:ascii="Calibri" w:hAnsi="Calibri"/>
          <w:b/>
          <w:color w:val="007433"/>
          <w:sz w:val="32"/>
        </w:rPr>
        <w:t>Detección de anomalías en registros de acceso: qué puede y qué no puede probarse</w:t>
      </w:r>
    </w:p>
    <w:p>
      <w:r>
        <w:rPr>
          <w:rFonts w:ascii="Calibri" w:hAnsi="Calibri"/>
          <w:b w:val="0"/>
          <w:color w:val="2B2B2B"/>
          <w:sz w:val="22"/>
        </w:rPr>
        <w:t>El punto ciego de todo diagnóstico declarativo es la diferencia entre lo que una organización afirma</w:t>
      </w:r>
    </w:p>
    <w:p>
      <w:r>
        <w:rPr>
          <w:rFonts w:ascii="Calibri" w:hAnsi="Calibri"/>
          <w:b w:val="0"/>
          <w:color w:val="2B2B2B"/>
          <w:sz w:val="22"/>
        </w:rPr>
        <w:t>hacer y lo que sus sistemas registran. La formulación fundacional del problema es el modelo de detección</w:t>
      </w:r>
    </w:p>
    <w:p>
      <w:r>
        <w:rPr>
          <w:rFonts w:ascii="Calibri" w:hAnsi="Calibri"/>
          <w:b w:val="0"/>
          <w:color w:val="2B2B2B"/>
          <w:sz w:val="22"/>
        </w:rPr>
        <w:t>de intrusiones de Denning [20]: construir perfiles estadísticos del comportamiento normal a partir de</w:t>
      </w:r>
    </w:p>
    <w:p>
      <w:r>
        <w:rPr>
          <w:rFonts w:ascii="Calibri" w:hAnsi="Calibri"/>
          <w:b w:val="0"/>
          <w:color w:val="2B2B2B"/>
          <w:sz w:val="22"/>
        </w:rPr>
        <w:t>registros de auditoría y señalar las desviaciones. La genealogía importa: el detector estadístico de</w:t>
      </w:r>
    </w:p>
    <w:p>
      <w:r>
        <w:rPr>
          <w:rFonts w:ascii="Calibri" w:hAnsi="Calibri"/>
          <w:b w:val="0"/>
          <w:color w:val="2B2B2B"/>
          <w:sz w:val="22"/>
        </w:rPr>
        <w:t>referencia que este proyecto implementa —umbrales y reglas simples— no es un adversario debilitado</w:t>
      </w:r>
    </w:p>
    <w:p>
      <w:r>
        <w:rPr>
          <w:rFonts w:ascii="Calibri" w:hAnsi="Calibri"/>
          <w:b w:val="0"/>
          <w:color w:val="2B2B2B"/>
          <w:sz w:val="22"/>
        </w:rPr>
        <w:t>construido para que el aprendizaje automático lo supere, sino el paradigma original del campo; ganarle</w:t>
      </w:r>
    </w:p>
    <w:p>
      <w:r>
        <w:rPr>
          <w:rFonts w:ascii="Calibri" w:hAnsi="Calibri"/>
          <w:b w:val="0"/>
          <w:color w:val="2B2B2B"/>
          <w:sz w:val="22"/>
        </w:rPr>
        <w:t>es un resultado, no un trámite.</w:t>
      </w:r>
    </w:p>
    <w:p>
      <w:r>
        <w:rPr>
          <w:rFonts w:ascii="Calibri" w:hAnsi="Calibri"/>
          <w:b w:val="0"/>
          <w:color w:val="2B2B2B"/>
          <w:sz w:val="22"/>
        </w:rPr>
        <w:t>La revisión de Chandola, Banerjee y Kumar [10] sistematiza el problema y aporta la restricción decisiva:</w:t>
      </w:r>
    </w:p>
    <w:p>
      <w:r>
        <w:rPr>
          <w:rFonts w:ascii="Calibri" w:hAnsi="Calibri"/>
          <w:b w:val="0"/>
          <w:color w:val="2B2B2B"/>
          <w:sz w:val="22"/>
        </w:rPr>
        <w:t>sin etiquetas de referencia, el régimen aplicable es el no supervisado y la evaluación se vuelve el</w:t>
      </w:r>
    </w:p>
    <w:p>
      <w:r>
        <w:rPr>
          <w:rFonts w:ascii="Calibri" w:hAnsi="Calibri"/>
          <w:b w:val="0"/>
          <w:color w:val="2B2B2B"/>
          <w:sz w:val="22"/>
        </w:rPr>
        <w:t>eslabón débil. Ninguna organización participante tiene histórico etiquetado, así que el régimen</w:t>
      </w:r>
    </w:p>
    <w:p>
      <w:r>
        <w:rPr>
          <w:rFonts w:ascii="Calibri" w:hAnsi="Calibri"/>
          <w:b w:val="0"/>
          <w:color w:val="2B2B2B"/>
          <w:sz w:val="22"/>
        </w:rPr>
        <w:t>supervisado queda descartado por disponibilidad de datos, no por preferencia. Dentro del no supervisado,</w:t>
      </w:r>
    </w:p>
    <w:p>
      <w:r>
        <w:rPr>
          <w:rFonts w:ascii="Calibri" w:hAnsi="Calibri"/>
          <w:b w:val="0"/>
          <w:color w:val="2B2B2B"/>
          <w:sz w:val="22"/>
        </w:rPr>
        <w:t>*Isolation Forest* [11] es apropiado por tres propiedades de su formulación: aísla atípicos mediante</w:t>
      </w:r>
    </w:p>
    <w:p>
      <w:r>
        <w:rPr>
          <w:rFonts w:ascii="Calibri" w:hAnsi="Calibri"/>
          <w:b w:val="0"/>
          <w:color w:val="2B2B2B"/>
          <w:sz w:val="22"/>
        </w:rPr>
        <w:t>particiones aleatorias en lugar de modelar la densidad de lo normal, no supone distribución de los datos</w:t>
      </w:r>
    </w:p>
    <w:p>
      <w:r>
        <w:rPr>
          <w:rFonts w:ascii="Calibri" w:hAnsi="Calibri"/>
          <w:b w:val="0"/>
          <w:color w:val="2B2B2B"/>
          <w:sz w:val="22"/>
        </w:rPr>
        <w:t>y opera con costo bajo y submuestreo, lo que lo hace ejecutable sobre volúmenes modestos en equipos</w:t>
      </w:r>
    </w:p>
    <w:p>
      <w:r>
        <w:rPr>
          <w:rFonts w:ascii="Calibri" w:hAnsi="Calibri"/>
          <w:b w:val="0"/>
          <w:color w:val="2B2B2B"/>
          <w:sz w:val="22"/>
        </w:rPr>
        <w:t xml:space="preserve">ordinarios. Su implementación en </w:t>
      </w:r>
      <w:r>
        <w:rPr>
          <w:rFonts w:ascii="Consolas" w:hAnsi="Consolas"/>
          <w:color w:val="111111"/>
          <w:sz w:val="21"/>
        </w:rPr>
        <w:t>scikit-learn</w:t>
      </w:r>
      <w:r>
        <w:rPr>
          <w:rFonts w:ascii="Calibri" w:hAnsi="Calibri"/>
          <w:b w:val="0"/>
          <w:color w:val="2B2B2B"/>
          <w:sz w:val="22"/>
        </w:rPr>
        <w:t xml:space="preserve"> [21] añade reproducibilidad: código abierto, semillas</w:t>
      </w:r>
    </w:p>
    <w:p>
      <w:r>
        <w:rPr>
          <w:rFonts w:ascii="Calibri" w:hAnsi="Calibri"/>
          <w:b w:val="0"/>
          <w:color w:val="2B2B2B"/>
          <w:sz w:val="22"/>
        </w:rPr>
        <w:t>fijables e interfaz documentada.</w:t>
      </w:r>
    </w:p>
    <w:p>
      <w:r>
        <w:rPr>
          <w:rFonts w:ascii="Calibri" w:hAnsi="Calibri"/>
          <w:b w:val="0"/>
          <w:color w:val="2B2B2B"/>
          <w:sz w:val="22"/>
        </w:rPr>
        <w:t>Dos trabajos determinan los criterios de evaluación, y no solo la elección del algoritmo. Axelsson [22]</w:t>
      </w:r>
    </w:p>
    <w:p>
      <w:r>
        <w:rPr>
          <w:rFonts w:ascii="Calibri" w:hAnsi="Calibri"/>
          <w:b w:val="0"/>
          <w:color w:val="2B2B2B"/>
          <w:sz w:val="22"/>
        </w:rPr>
        <w:t>demostró que, cuando la prevalencia de eventos maliciosos es muy baja, incluso tasas pequeñas de falsos</w:t>
      </w:r>
    </w:p>
    <w:p>
      <w:r>
        <w:rPr>
          <w:rFonts w:ascii="Calibri" w:hAnsi="Calibri"/>
          <w:b w:val="0"/>
          <w:color w:val="2B2B2B"/>
          <w:sz w:val="22"/>
        </w:rPr>
        <w:t>positivos producen una probabilidad reducida de que una alerta corresponda a un incidente: la falacia de</w:t>
      </w:r>
    </w:p>
    <w:p>
      <w:r>
        <w:rPr>
          <w:rFonts w:ascii="Calibri" w:hAnsi="Calibri"/>
          <w:b w:val="0"/>
          <w:color w:val="2B2B2B"/>
          <w:sz w:val="22"/>
        </w:rPr>
        <w:t xml:space="preserve">la tasa base convierte el presupuesto de falsas alarmas en criterio vinculante. Por eso H4 fija </w:t>
      </w:r>
      <w:r>
        <w:rPr>
          <w:rFonts w:ascii="Calibri" w:hAnsi="Calibri"/>
          <w:b/>
          <w:color w:val="2B2B2B"/>
          <w:sz w:val="22"/>
        </w:rPr>
        <w:t>dos</w:t>
      </w:r>
    </w:p>
    <w:p>
      <w:r>
        <w:rPr>
          <w:rFonts w:ascii="Calibri" w:hAnsi="Calibri"/>
          <w:b w:val="0"/>
          <w:color w:val="2B2B2B"/>
          <w:sz w:val="22"/>
        </w:rPr>
        <w:t>umbrales simultáneos —recuperación ≥ 70 % y falsas alarmas ≤ 5 %— y se declara refutada si falla</w:t>
      </w:r>
    </w:p>
    <w:p>
      <w:r>
        <w:rPr>
          <w:rFonts w:ascii="Calibri" w:hAnsi="Calibri"/>
          <w:b w:val="0"/>
          <w:color w:val="2B2B2B"/>
          <w:sz w:val="22"/>
        </w:rPr>
        <w:t>cualquiera: donde nadie revisa alertas, un detector sensible y ruidoso es inservible. Sommer y Paxson [23]</w:t>
      </w:r>
    </w:p>
    <w:p>
      <w:r>
        <w:rPr>
          <w:rFonts w:ascii="Calibri" w:hAnsi="Calibri"/>
          <w:b w:val="0"/>
          <w:color w:val="2B2B2B"/>
          <w:sz w:val="22"/>
        </w:rPr>
        <w:t>explican por qué el aprendizaje automático aplicado a detección de intrusiones rinde en el laboratorio y</w:t>
      </w:r>
    </w:p>
    <w:p>
      <w:r>
        <w:rPr>
          <w:rFonts w:ascii="Calibri" w:hAnsi="Calibri"/>
          <w:b w:val="0"/>
          <w:color w:val="2B2B2B"/>
          <w:sz w:val="22"/>
        </w:rPr>
        <w:t>decepciona en operación —brecha semántica entre anomalía y ataque, costo asimétrico de los errores,</w:t>
      </w:r>
    </w:p>
    <w:p>
      <w:r>
        <w:rPr>
          <w:rFonts w:ascii="Calibri" w:hAnsi="Calibri"/>
          <w:b w:val="0"/>
          <w:color w:val="2B2B2B"/>
          <w:sz w:val="22"/>
        </w:rPr>
        <w:t>dificultad de obtener verdad de referencia— y recomiendan restringir el alcance, comprender los</w:t>
      </w:r>
    </w:p>
    <w:p>
      <w:r>
        <w:rPr>
          <w:rFonts w:ascii="Calibri" w:hAnsi="Calibri"/>
          <w:b w:val="0"/>
          <w:color w:val="2B2B2B"/>
          <w:sz w:val="22"/>
        </w:rPr>
        <w:t>atributos usados y evaluar sobre datos cuya verdad de referencia se conozca. El tercer objetivo</w:t>
      </w:r>
    </w:p>
    <w:p>
      <w:r>
        <w:rPr>
          <w:rFonts w:ascii="Calibri" w:hAnsi="Calibri"/>
          <w:b w:val="0"/>
          <w:color w:val="2B2B2B"/>
          <w:sz w:val="22"/>
        </w:rPr>
        <w:t>específico aplica literalmente esas recomendaciones: alcance restringido a registros de acceso</w:t>
      </w:r>
    </w:p>
    <w:p>
      <w:r>
        <w:rPr>
          <w:rFonts w:ascii="Calibri" w:hAnsi="Calibri"/>
          <w:b w:val="0"/>
          <w:color w:val="2B2B2B"/>
          <w:sz w:val="22"/>
        </w:rPr>
        <w:t>tabulares, atributos declarados y evaluación sobre registros sintéticos y anonimizados con **anomalías</w:t>
      </w:r>
    </w:p>
    <w:p>
      <w:r>
        <w:rPr>
          <w:rFonts w:ascii="Calibri" w:hAnsi="Calibri"/>
          <w:b w:val="0"/>
          <w:color w:val="2B2B2B"/>
          <w:sz w:val="22"/>
        </w:rPr>
        <w:t>inyectadas de referencia conocida**, único procedimiento que permite calcular recuperación y precisión</w:t>
      </w:r>
    </w:p>
    <w:p>
      <w:r>
        <w:rPr>
          <w:rFonts w:ascii="Calibri" w:hAnsi="Calibri"/>
          <w:b w:val="0"/>
          <w:color w:val="2B2B2B"/>
          <w:sz w:val="22"/>
        </w:rPr>
        <w:t>sin depender de que ocurra un incidente durante el estudio.</w:t>
      </w:r>
    </w:p>
    <w:p>
      <w:pPr>
        <w:spacing w:before="200" w:after="60"/>
      </w:pPr>
      <w:r>
        <w:rPr>
          <w:rFonts w:ascii="Calibri" w:hAnsi="Calibri"/>
          <w:b/>
          <w:color w:val="007433"/>
          <w:sz w:val="32"/>
        </w:rPr>
        <w:t>Un riesgo emergente que ningún marco de control clásico contempla</w:t>
      </w:r>
    </w:p>
    <w:p>
      <w:r>
        <w:rPr>
          <w:rFonts w:ascii="Calibri" w:hAnsi="Calibri"/>
          <w:b w:val="0"/>
          <w:color w:val="2B2B2B"/>
          <w:sz w:val="22"/>
        </w:rPr>
        <w:t>Los marcos citados aquí se escribieron antes de que el uso de asistentes de IA generativa fuera</w:t>
      </w:r>
    </w:p>
    <w:p>
      <w:r>
        <w:rPr>
          <w:rFonts w:ascii="Calibri" w:hAnsi="Calibri"/>
          <w:b w:val="0"/>
          <w:color w:val="2B2B2B"/>
          <w:sz w:val="22"/>
        </w:rPr>
        <w:t>cotidiano en tareas administrativas. Cuando personal de una organización pequeña copia información de</w:t>
      </w:r>
    </w:p>
    <w:p>
      <w:r>
        <w:rPr>
          <w:rFonts w:ascii="Calibri" w:hAnsi="Calibri"/>
          <w:b w:val="0"/>
          <w:color w:val="2B2B2B"/>
          <w:sz w:val="22"/>
        </w:rPr>
        <w:t>clientes en un asistente comercial para redactar un correo o depurar una base, transfiere datos</w:t>
      </w:r>
    </w:p>
    <w:p>
      <w:r>
        <w:rPr>
          <w:rFonts w:ascii="Calibri" w:hAnsi="Calibri"/>
          <w:b w:val="0"/>
          <w:color w:val="2B2B2B"/>
          <w:sz w:val="22"/>
        </w:rPr>
        <w:t>personales a un tercero sin autorización de los titulares y sin registro de la transferencia, con las</w:t>
      </w:r>
    </w:p>
    <w:p>
      <w:r>
        <w:rPr>
          <w:rFonts w:ascii="Calibri" w:hAnsi="Calibri"/>
          <w:b w:val="0"/>
          <w:color w:val="2B2B2B"/>
          <w:sz w:val="22"/>
        </w:rPr>
        <w:t>obligaciones que la Ley 1581 de 2012 [6] y el Decreto 1377 de 2013 [7] atribuyen a esa operación. Que el</w:t>
      </w:r>
    </w:p>
    <w:p>
      <w:r>
        <w:rPr>
          <w:rFonts w:ascii="Calibri" w:hAnsi="Calibri"/>
          <w:b w:val="0"/>
          <w:color w:val="2B2B2B"/>
          <w:sz w:val="22"/>
        </w:rPr>
        <w:t>dato entregado a un modelo no sea necesariamente efímero está documentado: Carlini y colaboradores [24]</w:t>
      </w:r>
    </w:p>
    <w:p>
      <w:r>
        <w:rPr>
          <w:rFonts w:ascii="Calibri" w:hAnsi="Calibri"/>
          <w:b w:val="0"/>
          <w:color w:val="2B2B2B"/>
          <w:sz w:val="22"/>
        </w:rPr>
        <w:t>mostraron la extracción de secuencias memorizadas de los datos de entrenamiento de modelos de lenguaje a</w:t>
      </w:r>
    </w:p>
    <w:p>
      <w:r>
        <w:rPr>
          <w:rFonts w:ascii="Calibri" w:hAnsi="Calibri"/>
          <w:b w:val="0"/>
          <w:color w:val="2B2B2B"/>
          <w:sz w:val="22"/>
        </w:rPr>
        <w:t>gran escala. Memorización posible más términos de servicio que en ciertos productos permiten usar las</w:t>
      </w:r>
    </w:p>
    <w:p>
      <w:r>
        <w:rPr>
          <w:rFonts w:ascii="Calibri" w:hAnsi="Calibri"/>
          <w:b w:val="0"/>
          <w:color w:val="2B2B2B"/>
          <w:sz w:val="22"/>
        </w:rPr>
        <w:t>entradas para entrenamiento convierten la práctica en riesgo de protección de datos, no solo de</w:t>
      </w:r>
    </w:p>
    <w:p>
      <w:r>
        <w:rPr>
          <w:rFonts w:ascii="Calibri" w:hAnsi="Calibri"/>
          <w:b w:val="0"/>
          <w:color w:val="2B2B2B"/>
          <w:sz w:val="22"/>
        </w:rPr>
        <w:t>confidencialidad comercial. Ninguna lista de verificación tradicional lo cubre: de ahí el apartado</w:t>
      </w:r>
    </w:p>
    <w:p>
      <w:r>
        <w:rPr>
          <w:rFonts w:ascii="Calibri" w:hAnsi="Calibri"/>
          <w:b w:val="0"/>
          <w:color w:val="2B2B2B"/>
          <w:sz w:val="22"/>
        </w:rPr>
        <w:t>específico del modelo de buenas prácticas.</w:t>
      </w:r>
    </w:p>
    <w:p>
      <w:pPr>
        <w:spacing w:before="200" w:after="60"/>
      </w:pPr>
      <w:r>
        <w:rPr>
          <w:rFonts w:ascii="Calibri" w:hAnsi="Calibri"/>
          <w:b/>
          <w:color w:val="007433"/>
          <w:sz w:val="32"/>
        </w:rPr>
        <w:t>Del marco a la metodología</w:t>
      </w:r>
    </w:p>
    <w:p>
      <w:r>
        <w:rPr>
          <w:rFonts w:ascii="Calibri" w:hAnsi="Calibri"/>
          <w:b w:val="0"/>
          <w:color w:val="2B2B2B"/>
          <w:sz w:val="22"/>
        </w:rPr>
        <w:t>Las cuatro tesis determinan el diseño que sigue. La asimetría entre deber y capacidad exige que la unidad</w:t>
      </w:r>
    </w:p>
    <w:p>
      <w:r>
        <w:rPr>
          <w:rFonts w:ascii="Calibri" w:hAnsi="Calibri"/>
          <w:b w:val="0"/>
          <w:color w:val="2B2B2B"/>
          <w:sz w:val="22"/>
        </w:rPr>
        <w:t>de construcción del instrumento sea la correspondencia deber–control–ítem verificable; el carácter</w:t>
      </w:r>
    </w:p>
    <w:p>
      <w:r>
        <w:rPr>
          <w:rFonts w:ascii="Calibri" w:hAnsi="Calibri"/>
          <w:b w:val="0"/>
          <w:color w:val="2B2B2B"/>
          <w:sz w:val="22"/>
        </w:rPr>
        <w:t>normativo de los modelos de madurez, calificación ordinal por dimensión con anclas explícitas y ninguna</w:t>
      </w:r>
    </w:p>
    <w:p>
      <w:r>
        <w:rPr>
          <w:rFonts w:ascii="Calibri" w:hAnsi="Calibri"/>
          <w:b w:val="0"/>
          <w:color w:val="2B2B2B"/>
          <w:sz w:val="22"/>
        </w:rPr>
        <w:t>etiqueta global; la teoría de la medición, juicio de expertos y doble calificación independiente con</w:t>
      </w:r>
    </w:p>
    <w:p>
      <w:r>
        <w:rPr>
          <w:rFonts w:ascii="Calibri" w:hAnsi="Calibri"/>
          <w:b w:val="0"/>
          <w:color w:val="2B2B2B"/>
          <w:sz w:val="22"/>
        </w:rPr>
        <w:t>umbral fijado por adelantado; y la literatura de detección de intrusiones, verdad de referencia conocida,</w:t>
      </w:r>
    </w:p>
    <w:p>
      <w:r>
        <w:rPr>
          <w:rFonts w:ascii="Calibri" w:hAnsi="Calibri"/>
          <w:b w:val="0"/>
          <w:color w:val="2B2B2B"/>
          <w:sz w:val="22"/>
        </w:rPr>
        <w:t>contraste contra la línea base estadística y presupuesto vinculante de falsas alarmas. Articular un</w:t>
      </w:r>
    </w:p>
    <w:p>
      <w:r>
        <w:rPr>
          <w:rFonts w:ascii="Calibri" w:hAnsi="Calibri"/>
          <w:b w:val="0"/>
          <w:color w:val="2B2B2B"/>
          <w:sz w:val="22"/>
        </w:rPr>
        <w:t>componente</w:t>
      </w:r>
    </w:p>
    <w:p>
      <w:r>
        <w:rPr>
          <w:rFonts w:ascii="Calibri" w:hAnsi="Calibri"/>
          <w:b w:val="0"/>
          <w:color w:val="2B2B2B"/>
          <w:sz w:val="22"/>
        </w:rPr>
        <w:t>cuantitativo —perfiles ordinales, acuerdo entre calificadores, métricas del detector— con uno</w:t>
      </w:r>
    </w:p>
    <w:p>
      <w:r>
        <w:rPr>
          <w:rFonts w:ascii="Calibri" w:hAnsi="Calibri"/>
          <w:b w:val="0"/>
          <w:color w:val="2B2B2B"/>
          <w:sz w:val="22"/>
        </w:rPr>
        <w:t>cualitativo —entrevistas, codificación de respuestas abiertas y validación del modelo por sus</w:t>
      </w:r>
    </w:p>
    <w:p>
      <w:r>
        <w:rPr>
          <w:rFonts w:ascii="Calibri" w:hAnsi="Calibri"/>
          <w:b w:val="0"/>
          <w:color w:val="2B2B2B"/>
          <w:sz w:val="22"/>
        </w:rPr>
        <w:t>destinatarios— corresponde a un diseño mixto en el sentido de Creswell y Plano Clark [25]: dos hebras</w:t>
      </w:r>
    </w:p>
    <w:p>
      <w:r>
        <w:rPr>
          <w:rFonts w:ascii="Calibri" w:hAnsi="Calibri"/>
          <w:b w:val="0"/>
          <w:color w:val="2B2B2B"/>
          <w:sz w:val="22"/>
        </w:rPr>
        <w:t>recogidas con propósitos distintos e integradas en un punto declarado del análisis, que aquí es la</w:t>
      </w:r>
    </w:p>
    <w:p>
      <w:r>
        <w:rPr>
          <w:rFonts w:ascii="Calibri" w:hAnsi="Calibri"/>
          <w:b w:val="0"/>
          <w:color w:val="2B2B2B"/>
          <w:sz w:val="22"/>
        </w:rPr>
        <w:t>construcción del modelo a partir de las brechas diagnosticadas. La metodología no es una elección entre</w:t>
      </w:r>
    </w:p>
    <w:p>
      <w:r>
        <w:rPr>
          <w:rFonts w:ascii="Calibri" w:hAnsi="Calibri"/>
          <w:b w:val="0"/>
          <w:color w:val="2B2B2B"/>
          <w:sz w:val="22"/>
        </w:rPr>
        <w:t>varias posibles: es lo que queda cuando se respetan estas restricciones.</w:t>
      </w:r>
    </w:p>
    <w:p>
      <w:pPr>
        <w:spacing w:before="200" w:after="60"/>
      </w:pPr>
      <w:r>
        <w:rPr>
          <w:rFonts w:ascii="Calibri" w:hAnsi="Calibri"/>
          <w:b/>
          <w:color w:val="007433"/>
          <w:sz w:val="32"/>
        </w:rPr>
        <w:t>Metodología</w:t>
      </w:r>
    </w:p>
    <w:p>
      <w:pPr>
        <w:spacing w:before="200" w:after="60"/>
      </w:pPr>
      <w:r>
        <w:rPr>
          <w:rFonts w:ascii="Calibri" w:hAnsi="Calibri"/>
          <w:b/>
          <w:color w:val="007433"/>
          <w:sz w:val="32"/>
        </w:rPr>
        <w:t>Enfoque y tipo de investigación</w:t>
      </w:r>
    </w:p>
    <w:p>
      <w:r>
        <w:rPr>
          <w:rFonts w:ascii="Calibri" w:hAnsi="Calibri"/>
          <w:b/>
          <w:color w:val="2B2B2B"/>
          <w:sz w:val="22"/>
        </w:rPr>
        <w:t>Enfoque: mixto convergente</w:t>
      </w:r>
      <w:r>
        <w:rPr>
          <w:rFonts w:ascii="Calibri" w:hAnsi="Calibri"/>
          <w:b w:val="0"/>
          <w:color w:val="2B2B2B"/>
          <w:sz w:val="22"/>
        </w:rPr>
        <w:t>, en el sentido preciso de Creswell y Plano Clark [25]: dos hebras</w:t>
      </w:r>
    </w:p>
    <w:p>
      <w:r>
        <w:rPr>
          <w:rFonts w:ascii="Calibri" w:hAnsi="Calibri"/>
          <w:b w:val="0"/>
          <w:color w:val="2B2B2B"/>
          <w:sz w:val="22"/>
        </w:rPr>
        <w:t>recogidas en paralelo con propósitos distintos y con **un punto de integración declarado por</w:t>
      </w:r>
    </w:p>
    <w:p>
      <w:r>
        <w:rPr>
          <w:rFonts w:ascii="Calibri" w:hAnsi="Calibri"/>
          <w:b w:val="0"/>
          <w:color w:val="2B2B2B"/>
          <w:sz w:val="22"/>
        </w:rPr>
        <w:t>adelantado**. La hebra cuantitativa produce los perfiles ordinales de madurez por dimensión, el</w:t>
      </w:r>
    </w:p>
    <w:p>
      <w:r>
        <w:rPr>
          <w:rFonts w:ascii="Calibri" w:hAnsi="Calibri"/>
          <w:b w:val="0"/>
          <w:color w:val="2B2B2B"/>
          <w:sz w:val="22"/>
        </w:rPr>
        <w:t>estadístico de acuerdo entre calificadores y las métricas del detector de anomalías. La hebra</w:t>
      </w:r>
    </w:p>
    <w:p>
      <w:r>
        <w:rPr>
          <w:rFonts w:ascii="Calibri" w:hAnsi="Calibri"/>
          <w:b w:val="0"/>
          <w:color w:val="2B2B2B"/>
          <w:sz w:val="22"/>
        </w:rPr>
        <w:t>cualitativa produce las razones que los representantes dan de sus propias brechas y su juicio sobre la</w:t>
      </w:r>
    </w:p>
    <w:p>
      <w:r>
        <w:rPr>
          <w:rFonts w:ascii="Calibri" w:hAnsi="Calibri"/>
          <w:b w:val="0"/>
          <w:color w:val="2B2B2B"/>
          <w:sz w:val="22"/>
        </w:rPr>
        <w:t>aplicabilidad de cada recomendación. **El punto de integración es uno y está nombrado: la construcción</w:t>
      </w:r>
    </w:p>
    <w:p>
      <w:r>
        <w:rPr>
          <w:rFonts w:ascii="Calibri" w:hAnsi="Calibri"/>
          <w:b w:val="0"/>
          <w:color w:val="2B2B2B"/>
          <w:sz w:val="22"/>
        </w:rPr>
        <w:t>del modelo de buenas prácticas a partir de las brechas diagnosticadas** (actividad 10 de la estructura</w:t>
      </w:r>
    </w:p>
    <w:p>
      <w:r>
        <w:rPr>
          <w:rFonts w:ascii="Calibri" w:hAnsi="Calibri"/>
          <w:b w:val="0"/>
          <w:color w:val="2B2B2B"/>
          <w:sz w:val="22"/>
        </w:rPr>
        <w:t>de objetivos y actividades). No se integra en la discusión final, cuando ya no cambia nada; se integra en</w:t>
      </w:r>
    </w:p>
    <w:p>
      <w:r>
        <w:rPr>
          <w:rFonts w:ascii="Calibri" w:hAnsi="Calibri"/>
          <w:b w:val="0"/>
          <w:color w:val="2B2B2B"/>
          <w:sz w:val="22"/>
        </w:rPr>
        <w:t>el momento en que las dos hebras determinan conjuntamente un producto.</w:t>
      </w:r>
    </w:p>
    <w:p>
      <w:r>
        <w:rPr>
          <w:rFonts w:ascii="Calibri" w:hAnsi="Calibri"/>
          <w:b/>
          <w:color w:val="2B2B2B"/>
          <w:sz w:val="22"/>
        </w:rPr>
        <w:t>Tipo de investigación: aplicada, descriptiva y evaluativa</w:t>
      </w:r>
      <w:r>
        <w:rPr>
          <w:rFonts w:ascii="Calibri" w:hAnsi="Calibri"/>
          <w:b w:val="0"/>
          <w:color w:val="2B2B2B"/>
          <w:sz w:val="22"/>
        </w:rPr>
        <w:t xml:space="preserve">, sobre un </w:t>
      </w:r>
      <w:r>
        <w:rPr>
          <w:rFonts w:ascii="Calibri" w:hAnsi="Calibri"/>
          <w:b/>
          <w:color w:val="2B2B2B"/>
          <w:sz w:val="22"/>
        </w:rPr>
        <w:t>estudio de casos múltiples</w:t>
      </w:r>
    </w:p>
    <w:p>
      <w:r>
        <w:rPr>
          <w:rFonts w:ascii="Calibri" w:hAnsi="Calibri"/>
          <w:b w:val="0"/>
          <w:color w:val="2B2B2B"/>
          <w:sz w:val="22"/>
        </w:rPr>
        <w:t xml:space="preserve">de tres a cinco organizaciones, con un componente de </w:t>
      </w:r>
      <w:r>
        <w:rPr>
          <w:rFonts w:ascii="Calibri" w:hAnsi="Calibri"/>
          <w:b/>
          <w:color w:val="2B2B2B"/>
          <w:sz w:val="22"/>
        </w:rPr>
        <w:t>validación técnica</w:t>
      </w:r>
      <w:r>
        <w:rPr>
          <w:rFonts w:ascii="Calibri" w:hAnsi="Calibri"/>
          <w:b w:val="0"/>
          <w:color w:val="2B2B2B"/>
          <w:sz w:val="22"/>
        </w:rPr>
        <w:t xml:space="preserve"> sobre datos sintéticos y</w:t>
      </w:r>
    </w:p>
    <w:p>
      <w:r>
        <w:rPr>
          <w:rFonts w:ascii="Calibri" w:hAnsi="Calibri"/>
          <w:b w:val="0"/>
          <w:color w:val="2B2B2B"/>
          <w:sz w:val="22"/>
        </w:rPr>
        <w:t xml:space="preserve">anonimizados. Conviene decir con la misma claridad </w:t>
      </w:r>
      <w:r>
        <w:rPr>
          <w:rFonts w:ascii="Calibri" w:hAnsi="Calibri"/>
          <w:b/>
          <w:color w:val="2B2B2B"/>
          <w:sz w:val="22"/>
        </w:rPr>
        <w:t>qué rótulos no corresponden</w:t>
      </w:r>
      <w:r>
        <w:rPr>
          <w:rFonts w:ascii="Calibri" w:hAnsi="Calibri"/>
          <w:b w:val="0"/>
          <w:color w:val="2B2B2B"/>
          <w:sz w:val="22"/>
        </w:rPr>
        <w:t>, porque el error de</w:t>
      </w:r>
    </w:p>
    <w:p>
      <w:r>
        <w:rPr>
          <w:rFonts w:ascii="Calibri" w:hAnsi="Calibri"/>
          <w:b w:val="0"/>
          <w:color w:val="2B2B2B"/>
          <w:sz w:val="22"/>
        </w:rPr>
        <w:t xml:space="preserve">etiqueta es frecuente y aquí sería falso: </w:t>
      </w:r>
      <w:r>
        <w:rPr>
          <w:rFonts w:ascii="Calibri" w:hAnsi="Calibri"/>
          <w:b/>
          <w:color w:val="2B2B2B"/>
          <w:sz w:val="22"/>
        </w:rPr>
        <w:t>no es experimental ni cuasiexperimental</w:t>
      </w:r>
      <w:r>
        <w:rPr>
          <w:rFonts w:ascii="Calibri" w:hAnsi="Calibri"/>
          <w:b w:val="0"/>
          <w:color w:val="2B2B2B"/>
          <w:sz w:val="22"/>
        </w:rPr>
        <w:t>. No hay asignación</w:t>
      </w:r>
    </w:p>
    <w:p>
      <w:r>
        <w:rPr>
          <w:rFonts w:ascii="Calibri" w:hAnsi="Calibri"/>
          <w:b w:val="0"/>
          <w:color w:val="2B2B2B"/>
          <w:sz w:val="22"/>
        </w:rPr>
        <w:t>de participantes a condiciones —ni al azar ni por conveniencia—, no hay grupo de comparación de</w:t>
      </w:r>
    </w:p>
    <w:p>
      <w:r>
        <w:rPr>
          <w:rFonts w:ascii="Calibri" w:hAnsi="Calibri"/>
          <w:b w:val="0"/>
          <w:color w:val="2B2B2B"/>
          <w:sz w:val="22"/>
        </w:rPr>
        <w:t>organizaciones, no se manipula ninguna variable en las organizaciones y no se mide efecto de una</w:t>
      </w:r>
    </w:p>
    <w:p>
      <w:r>
        <w:rPr>
          <w:rFonts w:ascii="Calibri" w:hAnsi="Calibri"/>
          <w:b w:val="0"/>
          <w:color w:val="2B2B2B"/>
          <w:sz w:val="22"/>
        </w:rPr>
        <w:t>intervención sobre ellas. El único contraste controlado del diseño ocurre **dentro del componente</w:t>
      </w:r>
    </w:p>
    <w:p>
      <w:r>
        <w:rPr>
          <w:rFonts w:ascii="Calibri" w:hAnsi="Calibri"/>
          <w:b w:val="0"/>
          <w:color w:val="2B2B2B"/>
          <w:sz w:val="22"/>
        </w:rPr>
        <w:t>técnico**, entre dos algoritmos aplicados a los mismos registros con la misma verdad de referencia</w:t>
      </w:r>
    </w:p>
    <w:p>
      <w:r>
        <w:rPr>
          <w:rFonts w:ascii="Calibri" w:hAnsi="Calibri"/>
          <w:b w:val="0"/>
          <w:color w:val="2B2B2B"/>
          <w:sz w:val="22"/>
        </w:rPr>
        <w:t>(H5); ese contraste es una comparación de procedimientos sobre datos, no un experimento con sujetos, y</w:t>
      </w:r>
    </w:p>
    <w:p>
      <w:r>
        <w:rPr>
          <w:rFonts w:ascii="Calibri" w:hAnsi="Calibri"/>
          <w:b w:val="0"/>
          <w:color w:val="2B2B2B"/>
          <w:sz w:val="22"/>
        </w:rPr>
        <w:t>llamarlo cuasiexperimental sería atribuir al estudio una capacidad causal que no tiene. El diseño es</w:t>
      </w:r>
    </w:p>
    <w:p>
      <w:r>
        <w:rPr>
          <w:rFonts w:ascii="Calibri" w:hAnsi="Calibri"/>
          <w:b/>
          <w:color w:val="2B2B2B"/>
          <w:sz w:val="22"/>
        </w:rPr>
        <w:t>diagnóstico-descriptivo</w:t>
      </w:r>
      <w:r>
        <w:rPr>
          <w:rFonts w:ascii="Calibri" w:hAnsi="Calibri"/>
          <w:b w:val="0"/>
          <w:color w:val="2B2B2B"/>
          <w:sz w:val="22"/>
        </w:rPr>
        <w:t xml:space="preserve"> en los objetivos específicos 1 y 2 y </w:t>
      </w:r>
      <w:r>
        <w:rPr>
          <w:rFonts w:ascii="Calibri" w:hAnsi="Calibri"/>
          <w:b/>
          <w:color w:val="2B2B2B"/>
          <w:sz w:val="22"/>
        </w:rPr>
        <w:t>de validación técnica</w:t>
      </w:r>
      <w:r>
        <w:rPr>
          <w:rFonts w:ascii="Calibri" w:hAnsi="Calibri"/>
          <w:b w:val="0"/>
          <w:color w:val="2B2B2B"/>
          <w:sz w:val="22"/>
        </w:rPr>
        <w:t xml:space="preserve"> en el 3, tal</w:t>
      </w:r>
    </w:p>
    <w:p>
      <w:r>
        <w:rPr>
          <w:rFonts w:ascii="Calibri" w:hAnsi="Calibri"/>
          <w:b w:val="0"/>
          <w:color w:val="2B2B2B"/>
          <w:sz w:val="22"/>
        </w:rPr>
        <w:t>como ya se declaró en el apartado de hipótesis.</w:t>
      </w:r>
    </w:p>
    <w:p>
      <w:r>
        <w:rPr>
          <w:rFonts w:ascii="Calibri" w:hAnsi="Calibri"/>
          <w:b/>
          <w:color w:val="2B2B2B"/>
          <w:sz w:val="22"/>
        </w:rPr>
        <w:t>Unidades de análisis — tres, y no son intercambiables.</w:t>
      </w:r>
      <w:r>
        <w:rPr>
          <w:rFonts w:ascii="Calibri" w:hAnsi="Calibri"/>
          <w:b w:val="0"/>
          <w:color w:val="2B2B2B"/>
          <w:sz w:val="22"/>
        </w:rPr>
        <w:t xml:space="preserve"> (a) </w:t>
      </w:r>
      <w:r>
        <w:rPr>
          <w:rFonts w:ascii="Calibri" w:hAnsi="Calibri"/>
          <w:b/>
          <w:color w:val="2B2B2B"/>
          <w:sz w:val="22"/>
        </w:rPr>
        <w:t>La organización</w:t>
      </w:r>
      <w:r>
        <w:rPr>
          <w:rFonts w:ascii="Calibri" w:hAnsi="Calibri"/>
          <w:b w:val="0"/>
          <w:color w:val="2B2B2B"/>
          <w:sz w:val="22"/>
        </w:rPr>
        <w:t>, para el perfil de</w:t>
      </w:r>
    </w:p>
    <w:p>
      <w:r>
        <w:rPr>
          <w:rFonts w:ascii="Calibri" w:hAnsi="Calibri"/>
          <w:b w:val="0"/>
          <w:color w:val="2B2B2B"/>
          <w:sz w:val="22"/>
        </w:rPr>
        <w:t xml:space="preserve">madurez y para la validación del modelo; n = 3 a 5. (b) </w:t>
      </w:r>
      <w:r>
        <w:rPr>
          <w:rFonts w:ascii="Calibri" w:hAnsi="Calibri"/>
          <w:b/>
          <w:color w:val="2B2B2B"/>
          <w:sz w:val="22"/>
        </w:rPr>
        <w:t>El ítem calificado dentro de una dimensión</w:t>
      </w:r>
      <w:r>
        <w:rPr>
          <w:rFonts w:ascii="Calibri" w:hAnsi="Calibri"/>
          <w:b w:val="0"/>
          <w:color w:val="2B2B2B"/>
          <w:sz w:val="22"/>
        </w:rPr>
        <w:t>,</w:t>
      </w:r>
    </w:p>
    <w:p>
      <w:r>
        <w:rPr>
          <w:rFonts w:ascii="Calibri" w:hAnsi="Calibri"/>
          <w:b w:val="0"/>
          <w:color w:val="2B2B2B"/>
          <w:sz w:val="22"/>
        </w:rPr>
        <w:t>para la estimación del acuerdo entre calificadores; su número es el producto del número de ítems del</w:t>
      </w:r>
    </w:p>
    <w:p>
      <w:r>
        <w:rPr>
          <w:rFonts w:ascii="Calibri" w:hAnsi="Calibri"/>
          <w:b w:val="0"/>
          <w:color w:val="2B2B2B"/>
          <w:sz w:val="22"/>
        </w:rPr>
        <w:t>instrumento por el número de organizaciones con doble calificación, y es de un orden de magnitud</w:t>
      </w:r>
    </w:p>
    <w:p>
      <w:r>
        <w:rPr>
          <w:rFonts w:ascii="Calibri" w:hAnsi="Calibri"/>
          <w:b w:val="0"/>
          <w:color w:val="2B2B2B"/>
          <w:sz w:val="22"/>
        </w:rPr>
        <w:t>suficiente para estimar un coeficiente de fiabilidad aunque las organizaciones sean pocas. (c) **El</w:t>
      </w:r>
    </w:p>
    <w:p>
      <w:r>
        <w:rPr>
          <w:rFonts w:ascii="Calibri" w:hAnsi="Calibri"/>
          <w:b w:val="0"/>
          <w:color w:val="2B2B2B"/>
          <w:sz w:val="22"/>
        </w:rPr>
        <w:t>registro de acceso y la anomalía inyectada**, para la evaluación del detector; su número se controla por</w:t>
      </w:r>
    </w:p>
    <w:p>
      <w:r>
        <w:rPr>
          <w:rFonts w:ascii="Calibri" w:hAnsi="Calibri"/>
          <w:b w:val="0"/>
          <w:color w:val="2B2B2B"/>
          <w:sz w:val="22"/>
        </w:rPr>
        <w:t>diseño y es la razón por la cual H4 y H5 admiten contraste cuantitativo mientras H1, H2 y H3 solo</w:t>
      </w:r>
    </w:p>
    <w:p>
      <w:r>
        <w:rPr>
          <w:rFonts w:ascii="Calibri" w:hAnsi="Calibri"/>
          <w:b w:val="0"/>
          <w:color w:val="2B2B2B"/>
          <w:sz w:val="22"/>
        </w:rPr>
        <w:t>admiten contraste descriptivo. Esta distinción, ya anunciada en el límite de inferencia del apartado de</w:t>
      </w:r>
    </w:p>
    <w:p>
      <w:r>
        <w:rPr>
          <w:rFonts w:ascii="Calibri" w:hAnsi="Calibri"/>
          <w:b w:val="0"/>
          <w:color w:val="2B2B2B"/>
          <w:sz w:val="22"/>
        </w:rPr>
        <w:t>hipótesis, gobierna todo el análisis y no se difumina en el reporte.</w:t>
      </w:r>
    </w:p>
    <w:p>
      <w:r>
        <w:rPr>
          <w:rFonts w:ascii="Calibri" w:hAnsi="Calibri"/>
          <w:b/>
          <w:color w:val="2B2B2B"/>
          <w:sz w:val="22"/>
        </w:rPr>
        <w:t>Población, muestreo y su límite.</w:t>
      </w:r>
      <w:r>
        <w:rPr>
          <w:rFonts w:ascii="Calibri" w:hAnsi="Calibri"/>
          <w:b w:val="0"/>
          <w:color w:val="2B2B2B"/>
          <w:sz w:val="22"/>
        </w:rPr>
        <w:t xml:space="preserve"> El muestreo de organizaciones es **intencional por criterio y no</w:t>
      </w:r>
    </w:p>
    <w:p>
      <w:r>
        <w:rPr>
          <w:rFonts w:ascii="Calibri" w:hAnsi="Calibri"/>
          <w:b w:val="0"/>
          <w:color w:val="2B2B2B"/>
          <w:sz w:val="22"/>
        </w:rPr>
        <w:t>probabilístico**: los cinco criterios de inclusión están escritos en el alcance y se aplican de forma</w:t>
      </w:r>
    </w:p>
    <w:p>
      <w:r>
        <w:rPr>
          <w:rFonts w:ascii="Calibri" w:hAnsi="Calibri"/>
          <w:b w:val="0"/>
          <w:color w:val="2B2B2B"/>
          <w:sz w:val="22"/>
        </w:rPr>
        <w:t>verificable, pero la disponibilidad —quién acepta firmar el Anexo 3— interviene inevitablemente. En</w:t>
      </w:r>
    </w:p>
    <w:p>
      <w:r>
        <w:rPr>
          <w:rFonts w:ascii="Calibri" w:hAnsi="Calibri"/>
          <w:b w:val="0"/>
          <w:color w:val="2B2B2B"/>
          <w:sz w:val="22"/>
        </w:rPr>
        <w:t xml:space="preserve">consecuencia </w:t>
      </w:r>
      <w:r>
        <w:rPr>
          <w:rFonts w:ascii="Calibri" w:hAnsi="Calibri"/>
          <w:b/>
          <w:color w:val="2B2B2B"/>
          <w:sz w:val="22"/>
        </w:rPr>
        <w:t>no se afirma representatividad del sector</w:t>
      </w:r>
      <w:r>
        <w:rPr>
          <w:rFonts w:ascii="Calibri" w:hAnsi="Calibri"/>
          <w:b w:val="0"/>
          <w:color w:val="2B2B2B"/>
          <w:sz w:val="22"/>
        </w:rPr>
        <w:t xml:space="preserve"> y los perfiles de madurez describen a las</w:t>
      </w:r>
    </w:p>
    <w:p>
      <w:r>
        <w:rPr>
          <w:rFonts w:ascii="Calibri" w:hAnsi="Calibri"/>
          <w:b w:val="0"/>
          <w:color w:val="2B2B2B"/>
          <w:sz w:val="22"/>
        </w:rPr>
        <w:t>organizaciones participantes. El valor externo está en el instrumento y en el modelo. El umbral mínimo</w:t>
      </w:r>
    </w:p>
    <w:p>
      <w:r>
        <w:rPr>
          <w:rFonts w:ascii="Calibri" w:hAnsi="Calibri"/>
          <w:b w:val="0"/>
          <w:color w:val="2B2B2B"/>
          <w:sz w:val="22"/>
        </w:rPr>
        <w:t xml:space="preserve">de ejecución es de </w:t>
      </w:r>
      <w:r>
        <w:rPr>
          <w:rFonts w:ascii="Calibri" w:hAnsi="Calibri"/>
          <w:b/>
          <w:color w:val="2B2B2B"/>
          <w:sz w:val="22"/>
        </w:rPr>
        <w:t>tres organizaciones</w:t>
      </w:r>
      <w:r>
        <w:rPr>
          <w:rFonts w:ascii="Calibri" w:hAnsi="Calibri"/>
          <w:b w:val="0"/>
          <w:color w:val="2B2B2B"/>
          <w:sz w:val="22"/>
        </w:rPr>
        <w:t>; por debajo de ese número el estudio se reformula ante la</w:t>
      </w:r>
    </w:p>
    <w:p>
      <w:r>
        <w:rPr>
          <w:rFonts w:ascii="Calibri" w:hAnsi="Calibri"/>
          <w:b w:val="0"/>
          <w:color w:val="2B2B2B"/>
          <w:sz w:val="22"/>
        </w:rPr>
        <w:t>DNI y no se completa con casos hipotéticos (pendiente 5).</w:t>
      </w:r>
    </w:p>
    <w:p>
      <w:r>
        <w:rPr>
          <w:rFonts w:ascii="Calibri" w:hAnsi="Calibri"/>
          <w:b/>
          <w:color w:val="2B2B2B"/>
          <w:sz w:val="22"/>
        </w:rPr>
        <w:t>Estructura del instrumento y regla de calificación.</w:t>
      </w:r>
      <w:r>
        <w:rPr>
          <w:rFonts w:ascii="Calibri" w:hAnsi="Calibri"/>
          <w:b w:val="0"/>
          <w:color w:val="2B2B2B"/>
          <w:sz w:val="22"/>
        </w:rPr>
        <w:t xml:space="preserve"> El instrumento se organiza en **ocho</w:t>
      </w:r>
    </w:p>
    <w:p>
      <w:r>
        <w:rPr>
          <w:rFonts w:ascii="Calibri" w:hAnsi="Calibri"/>
          <w:b w:val="0"/>
          <w:color w:val="2B2B2B"/>
          <w:sz w:val="22"/>
        </w:rPr>
        <w:t>dimensiones</w:t>
      </w:r>
      <w:r>
        <w:rPr>
          <w:rFonts w:ascii="Calibri" w:hAnsi="Calibri"/>
          <w:b/>
          <w:color w:val="2B2B2B"/>
          <w:sz w:val="22"/>
        </w:rPr>
        <w:t xml:space="preserve"> derivadas de la matriz de correspondencia: </w:t>
      </w:r>
      <w:r>
        <w:rPr>
          <w:rFonts w:ascii="Calibri" w:hAnsi="Calibri"/>
          <w:b w:val="0"/>
          <w:color w:val="2B2B2B"/>
          <w:sz w:val="22"/>
        </w:rPr>
        <w:t>D1** autorización, finalidad y aviso de</w:t>
      </w:r>
    </w:p>
    <w:p>
      <w:r>
        <w:rPr>
          <w:rFonts w:ascii="Calibri" w:hAnsi="Calibri"/>
          <w:b w:val="0"/>
          <w:color w:val="2B2B2B"/>
          <w:sz w:val="22"/>
        </w:rPr>
        <w:t xml:space="preserve">privacidad; </w:t>
      </w:r>
      <w:r>
        <w:rPr>
          <w:rFonts w:ascii="Calibri" w:hAnsi="Calibri"/>
          <w:b/>
          <w:color w:val="2B2B2B"/>
          <w:sz w:val="22"/>
        </w:rPr>
        <w:t>D2</w:t>
      </w:r>
      <w:r>
        <w:rPr>
          <w:rFonts w:ascii="Calibri" w:hAnsi="Calibri"/>
          <w:b w:val="0"/>
          <w:color w:val="2B2B2B"/>
          <w:sz w:val="22"/>
        </w:rPr>
        <w:t xml:space="preserve"> política interna de tratamiento y evidencia de cumplimiento; </w:t>
      </w:r>
      <w:r>
        <w:rPr>
          <w:rFonts w:ascii="Calibri" w:hAnsi="Calibri"/>
          <w:b/>
          <w:color w:val="2B2B2B"/>
          <w:sz w:val="22"/>
        </w:rPr>
        <w:t>D3</w:t>
      </w:r>
      <w:r>
        <w:rPr>
          <w:rFonts w:ascii="Calibri" w:hAnsi="Calibri"/>
          <w:b w:val="0"/>
          <w:color w:val="2B2B2B"/>
          <w:sz w:val="22"/>
        </w:rPr>
        <w:t xml:space="preserve"> atención de</w:t>
      </w:r>
    </w:p>
    <w:p>
      <w:r>
        <w:rPr>
          <w:rFonts w:ascii="Calibri" w:hAnsi="Calibri"/>
          <w:b w:val="0"/>
          <w:color w:val="2B2B2B"/>
          <w:sz w:val="22"/>
        </w:rPr>
        <w:t xml:space="preserve">consultas y reclamos; </w:t>
      </w:r>
      <w:r>
        <w:rPr>
          <w:rFonts w:ascii="Calibri" w:hAnsi="Calibri"/>
          <w:b/>
          <w:color w:val="2B2B2B"/>
          <w:sz w:val="22"/>
        </w:rPr>
        <w:t>D4</w:t>
      </w:r>
      <w:r>
        <w:rPr>
          <w:rFonts w:ascii="Calibri" w:hAnsi="Calibri"/>
          <w:b w:val="0"/>
          <w:color w:val="2B2B2B"/>
          <w:sz w:val="22"/>
        </w:rPr>
        <w:t xml:space="preserve"> gestión de identidades y accesos; </w:t>
      </w:r>
      <w:r>
        <w:rPr>
          <w:rFonts w:ascii="Calibri" w:hAnsi="Calibri"/>
          <w:b/>
          <w:color w:val="2B2B2B"/>
          <w:sz w:val="22"/>
        </w:rPr>
        <w:t>D5</w:t>
      </w:r>
      <w:r>
        <w:rPr>
          <w:rFonts w:ascii="Calibri" w:hAnsi="Calibri"/>
          <w:b w:val="0"/>
          <w:color w:val="2B2B2B"/>
          <w:sz w:val="22"/>
        </w:rPr>
        <w:t xml:space="preserve"> respaldos y recuperación</w:t>
      </w:r>
    </w:p>
    <w:p>
      <w:r>
        <w:rPr>
          <w:rFonts w:ascii="Calibri" w:hAnsi="Calibri"/>
          <w:b w:val="0"/>
          <w:color w:val="2B2B2B"/>
          <w:sz w:val="22"/>
        </w:rPr>
        <w:t xml:space="preserve">verificada; </w:t>
      </w:r>
      <w:r>
        <w:rPr>
          <w:rFonts w:ascii="Calibri" w:hAnsi="Calibri"/>
          <w:b/>
          <w:color w:val="2B2B2B"/>
          <w:sz w:val="22"/>
        </w:rPr>
        <w:t>D6</w:t>
      </w:r>
      <w:r>
        <w:rPr>
          <w:rFonts w:ascii="Calibri" w:hAnsi="Calibri"/>
          <w:b w:val="0"/>
          <w:color w:val="2B2B2B"/>
          <w:sz w:val="22"/>
        </w:rPr>
        <w:t xml:space="preserve"> actualización de software y protección contra código malicioso; </w:t>
      </w:r>
      <w:r>
        <w:rPr>
          <w:rFonts w:ascii="Calibri" w:hAnsi="Calibri"/>
          <w:b/>
          <w:color w:val="2B2B2B"/>
          <w:sz w:val="22"/>
        </w:rPr>
        <w:t>D7</w:t>
      </w:r>
      <w:r>
        <w:rPr>
          <w:rFonts w:ascii="Calibri" w:hAnsi="Calibri"/>
          <w:b w:val="0"/>
          <w:color w:val="2B2B2B"/>
          <w:sz w:val="22"/>
        </w:rPr>
        <w:t xml:space="preserve"> registro y</w:t>
      </w:r>
    </w:p>
    <w:p>
      <w:r>
        <w:rPr>
          <w:rFonts w:ascii="Calibri" w:hAnsi="Calibri"/>
          <w:b w:val="0"/>
          <w:color w:val="2B2B2B"/>
          <w:sz w:val="22"/>
        </w:rPr>
        <w:t xml:space="preserve">revisión de eventos; </w:t>
      </w:r>
      <w:r>
        <w:rPr>
          <w:rFonts w:ascii="Calibri" w:hAnsi="Calibri"/>
          <w:b/>
          <w:color w:val="2B2B2B"/>
          <w:sz w:val="22"/>
        </w:rPr>
        <w:t>D8</w:t>
      </w:r>
      <w:r>
        <w:rPr>
          <w:rFonts w:ascii="Calibri" w:hAnsi="Calibri"/>
          <w:b w:val="0"/>
          <w:color w:val="2B2B2B"/>
          <w:sz w:val="22"/>
        </w:rPr>
        <w:t xml:space="preserve"> concienciación del personal. Cada dimensión agrupa ítems verificables y se</w:t>
      </w:r>
    </w:p>
    <w:p>
      <w:r>
        <w:rPr>
          <w:rFonts w:ascii="Calibri" w:hAnsi="Calibri"/>
          <w:b w:val="0"/>
          <w:color w:val="2B2B2B"/>
          <w:sz w:val="22"/>
        </w:rPr>
        <w:t xml:space="preserve">califica en </w:t>
      </w:r>
      <w:r>
        <w:rPr>
          <w:rFonts w:ascii="Calibri" w:hAnsi="Calibri"/>
          <w:b/>
          <w:color w:val="2B2B2B"/>
          <w:sz w:val="22"/>
        </w:rPr>
        <w:t>escala ordinal de cuatro niveles con anclas explícitas</w:t>
      </w:r>
      <w:r>
        <w:rPr>
          <w:rFonts w:ascii="Calibri" w:hAnsi="Calibri"/>
          <w:b w:val="0"/>
          <w:color w:val="2B2B2B"/>
          <w:sz w:val="22"/>
        </w:rPr>
        <w:t xml:space="preserve">: </w:t>
      </w:r>
      <w:r>
        <w:rPr>
          <w:rFonts w:ascii="Calibri" w:hAnsi="Calibri"/>
          <w:b/>
          <w:color w:val="2B2B2B"/>
          <w:sz w:val="22"/>
        </w:rPr>
        <w:t>0</w:t>
      </w:r>
      <w:r>
        <w:rPr>
          <w:rFonts w:ascii="Calibri" w:hAnsi="Calibri"/>
          <w:b w:val="0"/>
          <w:color w:val="2B2B2B"/>
          <w:sz w:val="22"/>
        </w:rPr>
        <w:t xml:space="preserve"> ausente; </w:t>
      </w:r>
      <w:r>
        <w:rPr>
          <w:rFonts w:ascii="Calibri" w:hAnsi="Calibri"/>
          <w:b/>
          <w:color w:val="2B2B2B"/>
          <w:sz w:val="22"/>
        </w:rPr>
        <w:t>1</w:t>
      </w:r>
      <w:r>
        <w:rPr>
          <w:rFonts w:ascii="Calibri" w:hAnsi="Calibri"/>
          <w:b w:val="0"/>
          <w:color w:val="2B2B2B"/>
          <w:sz w:val="22"/>
        </w:rPr>
        <w:t xml:space="preserve"> práctica</w:t>
      </w:r>
    </w:p>
    <w:p>
      <w:r>
        <w:rPr>
          <w:rFonts w:ascii="Calibri" w:hAnsi="Calibri"/>
          <w:b w:val="0"/>
          <w:color w:val="2B2B2B"/>
          <w:sz w:val="22"/>
        </w:rPr>
        <w:t xml:space="preserve">informal, sin documento ni evidencia; </w:t>
      </w:r>
      <w:r>
        <w:rPr>
          <w:rFonts w:ascii="Calibri" w:hAnsi="Calibri"/>
          <w:b/>
          <w:color w:val="2B2B2B"/>
          <w:sz w:val="22"/>
        </w:rPr>
        <w:t>2</w:t>
      </w:r>
      <w:r>
        <w:rPr>
          <w:rFonts w:ascii="Calibri" w:hAnsi="Calibri"/>
          <w:b w:val="0"/>
          <w:color w:val="2B2B2B"/>
          <w:sz w:val="22"/>
        </w:rPr>
        <w:t xml:space="preserve"> documentada pero sin evidencia de aplicación o de revisión;</w:t>
      </w:r>
    </w:p>
    <w:p>
      <w:r>
        <w:rPr>
          <w:rFonts w:ascii="Calibri" w:hAnsi="Calibri"/>
          <w:b/>
          <w:color w:val="2B2B2B"/>
          <w:sz w:val="22"/>
        </w:rPr>
        <w:t>3</w:t>
      </w:r>
      <w:r>
        <w:rPr>
          <w:rFonts w:ascii="Calibri" w:hAnsi="Calibri"/>
          <w:b w:val="0"/>
          <w:color w:val="2B2B2B"/>
          <w:sz w:val="22"/>
        </w:rPr>
        <w:t xml:space="preserve"> documentada y verificable con evidencia que la organización exhibe en la visita. La calificación</w:t>
      </w:r>
    </w:p>
    <w:p>
      <w:r>
        <w:rPr>
          <w:rFonts w:ascii="Calibri" w:hAnsi="Calibri"/>
          <w:b w:val="0"/>
          <w:color w:val="2B2B2B"/>
          <w:sz w:val="22"/>
        </w:rPr>
        <w:t xml:space="preserve">de la dimensión es la </w:t>
      </w:r>
      <w:r>
        <w:rPr>
          <w:rFonts w:ascii="Calibri" w:hAnsi="Calibri"/>
          <w:b/>
          <w:color w:val="2B2B2B"/>
          <w:sz w:val="22"/>
        </w:rPr>
        <w:t>mediana ordinal de sus ítems</w:t>
      </w:r>
      <w:r>
        <w:rPr>
          <w:rFonts w:ascii="Calibri" w:hAnsi="Calibri"/>
          <w:b w:val="0"/>
          <w:color w:val="2B2B2B"/>
          <w:sz w:val="22"/>
        </w:rPr>
        <w:t>, y **no se produce ninguna etiqueta global de</w:t>
      </w:r>
    </w:p>
    <w:p>
      <w:r>
        <w:rPr>
          <w:rFonts w:ascii="Calibri" w:hAnsi="Calibri"/>
          <w:b w:val="0"/>
          <w:color w:val="2B2B2B"/>
          <w:sz w:val="22"/>
        </w:rPr>
        <w:t>estadio de madurez para la organización**: el resultado es un perfil de ocho valores. Esa prohibición no</w:t>
      </w:r>
    </w:p>
    <w:p>
      <w:r>
        <w:rPr>
          <w:rFonts w:ascii="Calibri" w:hAnsi="Calibri"/>
          <w:b w:val="0"/>
          <w:color w:val="2B2B2B"/>
          <w:sz w:val="22"/>
        </w:rPr>
        <w:t>es estilística, se deriva del marco teórico —Humphrey [16] supone progresión acumulativa hacia un óptimo</w:t>
      </w:r>
    </w:p>
    <w:p>
      <w:r>
        <w:rPr>
          <w:rFonts w:ascii="Calibri" w:hAnsi="Calibri"/>
          <w:b w:val="0"/>
          <w:color w:val="2B2B2B"/>
          <w:sz w:val="22"/>
        </w:rPr>
        <w:t>único y Becker, Knackstedt y Pöppelbuß [17] advierten el carácter normativo de esa ordenación—, y es lo</w:t>
      </w:r>
    </w:p>
    <w:p>
      <w:r>
        <w:rPr>
          <w:rFonts w:ascii="Calibri" w:hAnsi="Calibri"/>
          <w:b w:val="0"/>
          <w:color w:val="2B2B2B"/>
          <w:sz w:val="22"/>
        </w:rPr>
        <w:t>que hace falsable a H1: sin perfil por dimensión no habría dos bloques que comparar.</w:t>
      </w:r>
    </w:p>
    <w:p>
      <w:r>
        <w:rPr>
          <w:rFonts w:ascii="Calibri" w:hAnsi="Calibri"/>
          <w:b/>
          <w:color w:val="2B2B2B"/>
          <w:sz w:val="22"/>
        </w:rPr>
        <w:t>Correspondencia entre bloques de dimensiones y H1.</w:t>
      </w:r>
      <w:r>
        <w:rPr>
          <w:rFonts w:ascii="Calibri" w:hAnsi="Calibri"/>
          <w:b w:val="0"/>
          <w:color w:val="2B2B2B"/>
          <w:sz w:val="22"/>
        </w:rPr>
        <w:t xml:space="preserve"> Para el contraste descriptivo de H1, el **bloque</w:t>
      </w:r>
    </w:p>
    <w:p>
      <w:r>
        <w:rPr>
          <w:rFonts w:ascii="Calibri" w:hAnsi="Calibri"/>
          <w:b w:val="0"/>
          <w:color w:val="2B2B2B"/>
          <w:sz w:val="22"/>
        </w:rPr>
        <w:t>de presión externa visible</w:t>
      </w:r>
      <w:r>
        <w:rPr>
          <w:rFonts w:ascii="Calibri" w:hAnsi="Calibri"/>
          <w:b/>
          <w:color w:val="2B2B2B"/>
          <w:sz w:val="22"/>
        </w:rPr>
        <w:t xml:space="preserve"> es {D1, D2, D3} y el </w:t>
      </w:r>
      <w:r>
        <w:rPr>
          <w:rFonts w:ascii="Calibri" w:hAnsi="Calibri"/>
          <w:b w:val="0"/>
          <w:color w:val="2B2B2B"/>
          <w:sz w:val="22"/>
        </w:rPr>
        <w:t>bloque interno sin interlocutor que lo reclame** es</w:t>
      </w:r>
    </w:p>
    <w:p>
      <w:r>
        <w:rPr>
          <w:rFonts w:ascii="Calibri" w:hAnsi="Calibri"/>
          <w:b w:val="0"/>
          <w:color w:val="2B2B2B"/>
          <w:sz w:val="22"/>
        </w:rPr>
        <w:t xml:space="preserve">{D4, D5, D7}. </w:t>
      </w:r>
      <w:r>
        <w:rPr>
          <w:rFonts w:ascii="Calibri" w:hAnsi="Calibri"/>
          <w:b/>
          <w:color w:val="2B2B2B"/>
          <w:sz w:val="22"/>
        </w:rPr>
        <w:t>D6 y D8 no se asignan a ningún bloque</w:t>
      </w:r>
      <w:r>
        <w:rPr>
          <w:rFonts w:ascii="Calibri" w:hAnsi="Calibri"/>
          <w:b w:val="0"/>
          <w:color w:val="2B2B2B"/>
          <w:sz w:val="22"/>
        </w:rPr>
        <w:t xml:space="preserve"> —la actualización de software suele resolverla</w:t>
      </w:r>
    </w:p>
    <w:p>
      <w:r>
        <w:rPr>
          <w:rFonts w:ascii="Calibri" w:hAnsi="Calibri"/>
          <w:b w:val="0"/>
          <w:color w:val="2B2B2B"/>
          <w:sz w:val="22"/>
        </w:rPr>
        <w:t>un proveedor externo y la concienciación no cae limpiamente en ninguno de los dos lados— y se reportan</w:t>
      </w:r>
    </w:p>
    <w:p>
      <w:r>
        <w:rPr>
          <w:rFonts w:ascii="Calibri" w:hAnsi="Calibri"/>
          <w:b w:val="0"/>
          <w:color w:val="2B2B2B"/>
          <w:sz w:val="22"/>
        </w:rPr>
        <w:t>aparte. Declarar esta asignación antes de recoger datos impide reacomodarla después según el resultado.</w:t>
      </w:r>
    </w:p>
    <w:p>
      <w:pPr>
        <w:spacing w:before="200" w:after="60"/>
      </w:pPr>
      <w:r>
        <w:rPr>
          <w:rFonts w:ascii="Calibri" w:hAnsi="Calibri"/>
          <w:b/>
          <w:color w:val="007433"/>
          <w:sz w:val="32"/>
        </w:rPr>
        <w:t>Instrumentos</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w:t>
            </w:r>
          </w:p>
        </w:tc>
        <w:tc>
          <w:tcPr>
            <w:tcW w:type="dxa" w:w="3264"/>
            <w:shd w:val="clear" w:fill="0C2340"/>
            <w:shd w:val="clear" w:fill="0C2340"/>
          </w:tcPr>
          <w:p>
            <w:r>
              <w:rPr>
                <w:rFonts w:ascii="Calibri" w:hAnsi="Calibri"/>
                <w:b/>
                <w:color w:val="FFFFFF"/>
              </w:rPr>
            </w:r>
            <w:r>
              <w:rPr>
                <w:rFonts w:ascii="Calibri" w:hAnsi="Calibri"/>
                <w:b/>
                <w:color w:val="FFFFFF"/>
                <w:sz w:val="21"/>
              </w:rPr>
              <w:t>Instrumento</w:t>
            </w:r>
          </w:p>
        </w:tc>
        <w:tc>
          <w:tcPr>
            <w:tcW w:type="dxa" w:w="3264"/>
            <w:shd w:val="clear" w:fill="0C2340"/>
            <w:shd w:val="clear" w:fill="0C2340"/>
          </w:tcPr>
          <w:p>
            <w:r>
              <w:rPr>
                <w:rFonts w:ascii="Calibri" w:hAnsi="Calibri"/>
                <w:b/>
                <w:color w:val="FFFFFF"/>
              </w:rPr>
            </w:r>
            <w:r>
              <w:rPr>
                <w:rFonts w:ascii="Calibri" w:hAnsi="Calibri"/>
                <w:b/>
                <w:color w:val="FFFFFF"/>
                <w:sz w:val="21"/>
              </w:rPr>
              <w:t>Contenido y uso</w:t>
            </w:r>
          </w:p>
        </w:tc>
      </w:tr>
      <w:tr>
        <w:tc>
          <w:tcPr>
            <w:tcW w:type="dxa" w:w="3264"/>
          </w:tcPr>
          <w:p>
            <w:r/>
            <w:r>
              <w:rPr>
                <w:rFonts w:ascii="Calibri" w:hAnsi="Calibri"/>
                <w:b w:val="0"/>
                <w:color w:val="2B2B2B"/>
                <w:sz w:val="20"/>
              </w:rPr>
              <w:t>I1</w:t>
            </w:r>
          </w:p>
        </w:tc>
        <w:tc>
          <w:tcPr>
            <w:tcW w:type="dxa" w:w="3264"/>
          </w:tcPr>
          <w:p>
            <w:r/>
            <w:r>
              <w:rPr>
                <w:rFonts w:ascii="Calibri" w:hAnsi="Calibri"/>
                <w:b/>
                <w:color w:val="2B2B2B"/>
                <w:sz w:val="20"/>
              </w:rPr>
              <w:t>Matriz de correspondencia deber legal ↔ control del estándar ↔ ítem verificable</w:t>
            </w:r>
          </w:p>
        </w:tc>
        <w:tc>
          <w:tcPr>
            <w:tcW w:type="dxa" w:w="3264"/>
          </w:tcPr>
          <w:p>
            <w:r/>
            <w:r>
              <w:rPr>
                <w:rFonts w:ascii="Calibri" w:hAnsi="Calibri"/>
                <w:b w:val="0"/>
                <w:color w:val="2B2B2B"/>
                <w:sz w:val="20"/>
              </w:rPr>
              <w:t xml:space="preserve">Es la </w:t>
            </w:r>
            <w:r>
              <w:rPr>
                <w:rFonts w:ascii="Calibri" w:hAnsi="Calibri"/>
                <w:b/>
                <w:color w:val="2B2B2B"/>
                <w:sz w:val="20"/>
              </w:rPr>
              <w:t>unidad de construcción</w:t>
            </w:r>
            <w:r>
              <w:rPr>
                <w:rFonts w:ascii="Calibri" w:hAnsi="Calibri"/>
                <w:b w:val="0"/>
                <w:color w:val="2B2B2B"/>
                <w:sz w:val="20"/>
              </w:rPr>
              <w:t xml:space="preserve"> del instrumento y no un anexo justificativo. Cada fila enlaza un deber concreto de la Ley 1581 de 2012 [6] o del Decreto 1377 de 2013 [7] con el control de ISO/IEC 27001:2022 [4] o ISO/IEC 27002:2022 [5] que lo satisface, con la priorización de aplicabilidad a capacidad limitada de los *Critical Security Controls* [3] y de los fundamentos para pequeñas empresas del NIST [15], y con el ítem redactado de modo que pueda verificarse en una visita corta. Ningún ítem del instrumento existe sin fila en esta matriz: si un control no se puede anclar a un deber, o no se puede formular como verificación practicable en sitio, no entra. Así la selección de controles es derivación auditable y no preferencia del investigador.</w:t>
            </w:r>
          </w:p>
        </w:tc>
      </w:tr>
      <w:tr>
        <w:tc>
          <w:tcPr>
            <w:tcW w:type="dxa" w:w="3264"/>
            <w:shd w:val="clear" w:fill="F5F7F5"/>
            <w:shd w:val="clear" w:fill="F5F7F5"/>
          </w:tcPr>
          <w:p>
            <w:r/>
            <w:r>
              <w:rPr>
                <w:rFonts w:ascii="Calibri" w:hAnsi="Calibri"/>
                <w:b w:val="0"/>
                <w:color w:val="2B2B2B"/>
                <w:sz w:val="20"/>
              </w:rPr>
              <w:t>I2</w:t>
            </w:r>
          </w:p>
        </w:tc>
        <w:tc>
          <w:tcPr>
            <w:tcW w:type="dxa" w:w="3264"/>
            <w:shd w:val="clear" w:fill="F5F7F5"/>
            <w:shd w:val="clear" w:fill="F5F7F5"/>
          </w:tcPr>
          <w:p>
            <w:r/>
            <w:r>
              <w:rPr>
                <w:rFonts w:ascii="Calibri" w:hAnsi="Calibri"/>
                <w:b/>
                <w:color w:val="2B2B2B"/>
                <w:sz w:val="20"/>
              </w:rPr>
              <w:t>Instrumento de Diagnóstico de Madurez para organizaciones de capacidad limitada (IDM-Pyme)</w:t>
            </w:r>
          </w:p>
        </w:tc>
        <w:tc>
          <w:tcPr>
            <w:tcW w:type="dxa" w:w="3264"/>
            <w:shd w:val="clear" w:fill="F5F7F5"/>
            <w:shd w:val="clear" w:fill="F5F7F5"/>
          </w:tcPr>
          <w:p>
            <w:r/>
            <w:r>
              <w:rPr>
                <w:rFonts w:ascii="Calibri" w:hAnsi="Calibri"/>
                <w:b w:val="0"/>
                <w:color w:val="2B2B2B"/>
                <w:sz w:val="20"/>
              </w:rPr>
              <w:t xml:space="preserve">Ocho dimensiones (D1–D8), ítems verificables y escala ordinal 0–3 con las anclas descritas arriba, más una </w:t>
            </w:r>
            <w:r>
              <w:rPr>
                <w:rFonts w:ascii="Calibri" w:hAnsi="Calibri"/>
                <w:b/>
                <w:color w:val="2B2B2B"/>
                <w:sz w:val="20"/>
              </w:rPr>
              <w:t>guía de aplicación</w:t>
            </w:r>
            <w:r>
              <w:rPr>
                <w:rFonts w:ascii="Calibri" w:hAnsi="Calibri"/>
                <w:b w:val="0"/>
                <w:color w:val="2B2B2B"/>
                <w:sz w:val="20"/>
              </w:rPr>
              <w:t xml:space="preserve"> que fija, ítem por ítem, qué evidencia se considera suficiente para cada ancla y qué se hace cuando la organización no puede exhibirla. Incluye el protocolo de la visita: entrevista estructurada con el interlocutor autorizado y verificación documental de las evidencias que la organización muestra </w:t>
            </w:r>
            <w:r>
              <w:rPr>
                <w:rFonts w:ascii="Calibri" w:hAnsi="Calibri"/>
                <w:b/>
                <w:color w:val="2B2B2B"/>
                <w:sz w:val="20"/>
              </w:rPr>
              <w:t>voluntariamente</w:t>
            </w:r>
            <w:r>
              <w:rPr>
                <w:rFonts w:ascii="Calibri" w:hAnsi="Calibri"/>
                <w:b w:val="0"/>
                <w:color w:val="2B2B2B"/>
                <w:sz w:val="20"/>
              </w:rPr>
              <w:t>, sin ninguna actividad sobre su infraestructura.</w:t>
            </w:r>
          </w:p>
        </w:tc>
      </w:tr>
      <w:tr>
        <w:tc>
          <w:tcPr>
            <w:tcW w:type="dxa" w:w="3264"/>
          </w:tcPr>
          <w:p>
            <w:r/>
            <w:r>
              <w:rPr>
                <w:rFonts w:ascii="Calibri" w:hAnsi="Calibri"/>
                <w:b w:val="0"/>
                <w:color w:val="2B2B2B"/>
                <w:sz w:val="20"/>
              </w:rPr>
              <w:t>I3</w:t>
            </w:r>
          </w:p>
        </w:tc>
        <w:tc>
          <w:tcPr>
            <w:tcW w:type="dxa" w:w="3264"/>
          </w:tcPr>
          <w:p>
            <w:r/>
            <w:r>
              <w:rPr>
                <w:rFonts w:ascii="Calibri" w:hAnsi="Calibri"/>
                <w:b/>
                <w:color w:val="2B2B2B"/>
                <w:sz w:val="20"/>
              </w:rPr>
              <w:t>Formato de juicio de contenido por expertos</w:t>
            </w:r>
          </w:p>
        </w:tc>
        <w:tc>
          <w:tcPr>
            <w:tcW w:type="dxa" w:w="3264"/>
          </w:tcPr>
          <w:p>
            <w:r/>
            <w:r>
              <w:rPr>
                <w:rFonts w:ascii="Calibri" w:hAnsi="Calibri"/>
                <w:b w:val="0"/>
                <w:color w:val="2B2B2B"/>
                <w:sz w:val="20"/>
              </w:rPr>
              <w:t xml:space="preserve">Procedimiento de tipo Lawshe [18]: tres expertos califican la </w:t>
            </w:r>
            <w:r>
              <w:rPr>
                <w:rFonts w:ascii="Calibri" w:hAnsi="Calibri"/>
                <w:b/>
                <w:color w:val="2B2B2B"/>
                <w:sz w:val="20"/>
              </w:rPr>
              <w:t>esencialidad</w:t>
            </w:r>
            <w:r>
              <w:rPr>
                <w:rFonts w:ascii="Calibri" w:hAnsi="Calibri"/>
                <w:b w:val="0"/>
                <w:color w:val="2B2B2B"/>
                <w:sz w:val="20"/>
              </w:rPr>
              <w:t xml:space="preserve"> de cada ítem respecto del dominio (esencial / útil pero no esencial / no necesario) y su claridad, y proponen reformulaciones. De esas calificaciones se deriva un índice por ítem con el que se retiene, reformula o descarta. </w:t>
            </w:r>
            <w:r>
              <w:rPr>
                <w:rFonts w:ascii="Calibri" w:hAnsi="Calibri"/>
                <w:b/>
                <w:color w:val="2B2B2B"/>
                <w:sz w:val="20"/>
              </w:rPr>
              <w:t>Límite declarado por adelantado:</w:t>
            </w:r>
            <w:r>
              <w:rPr>
                <w:rFonts w:ascii="Calibri" w:hAnsi="Calibri"/>
                <w:b w:val="0"/>
                <w:color w:val="2B2B2B"/>
                <w:sz w:val="20"/>
              </w:rPr>
              <w:t xml:space="preserve"> con un panel de tres el índice es inestable, de modo que el juicio </w:t>
            </w:r>
            <w:r>
              <w:rPr>
                <w:rFonts w:ascii="Calibri" w:hAnsi="Calibri"/>
                <w:b/>
                <w:color w:val="2B2B2B"/>
                <w:sz w:val="20"/>
              </w:rPr>
              <w:t>depura</w:t>
            </w:r>
            <w:r>
              <w:rPr>
                <w:rFonts w:ascii="Calibri" w:hAnsi="Calibri"/>
                <w:b w:val="0"/>
                <w:color w:val="2B2B2B"/>
                <w:sz w:val="20"/>
              </w:rPr>
              <w:t xml:space="preserve"> el instrumento y </w:t>
            </w:r>
            <w:r>
              <w:rPr>
                <w:rFonts w:ascii="Calibri" w:hAnsi="Calibri"/>
                <w:b/>
                <w:color w:val="2B2B2B"/>
                <w:sz w:val="20"/>
              </w:rPr>
              <w:t>no se afirma validez de contenido establecida</w:t>
            </w:r>
            <w:r>
              <w:rPr>
                <w:rFonts w:ascii="Calibri" w:hAnsi="Calibri"/>
                <w:b w:val="0"/>
                <w:color w:val="2B2B2B"/>
                <w:sz w:val="20"/>
              </w:rPr>
              <w:t>. Esta salvedad se repite en el informe de resultados.</w:t>
            </w:r>
          </w:p>
        </w:tc>
      </w:tr>
      <w:tr>
        <w:tc>
          <w:tcPr>
            <w:tcW w:type="dxa" w:w="3264"/>
            <w:shd w:val="clear" w:fill="F5F7F5"/>
            <w:shd w:val="clear" w:fill="F5F7F5"/>
          </w:tcPr>
          <w:p>
            <w:r/>
            <w:r>
              <w:rPr>
                <w:rFonts w:ascii="Calibri" w:hAnsi="Calibri"/>
                <w:b w:val="0"/>
                <w:color w:val="2B2B2B"/>
                <w:sz w:val="20"/>
              </w:rPr>
              <w:t>I4</w:t>
            </w:r>
          </w:p>
        </w:tc>
        <w:tc>
          <w:tcPr>
            <w:tcW w:type="dxa" w:w="3264"/>
            <w:shd w:val="clear" w:fill="F5F7F5"/>
            <w:shd w:val="clear" w:fill="F5F7F5"/>
          </w:tcPr>
          <w:p>
            <w:r/>
            <w:r>
              <w:rPr>
                <w:rFonts w:ascii="Calibri" w:hAnsi="Calibri"/>
                <w:b/>
                <w:color w:val="2B2B2B"/>
                <w:sz w:val="20"/>
              </w:rPr>
              <w:t>Guion de entrevista semiestructurada al representante</w:t>
            </w:r>
          </w:p>
        </w:tc>
        <w:tc>
          <w:tcPr>
            <w:tcW w:type="dxa" w:w="3264"/>
            <w:shd w:val="clear" w:fill="F5F7F5"/>
            <w:shd w:val="clear" w:fill="F5F7F5"/>
          </w:tcPr>
          <w:p>
            <w:r/>
            <w:r>
              <w:rPr>
                <w:rFonts w:ascii="Calibri" w:hAnsi="Calibri"/>
                <w:b w:val="0"/>
                <w:color w:val="2B2B2B"/>
                <w:sz w:val="20"/>
              </w:rPr>
              <w:t>Seis ejes: quién responde de hecho por la seguridad de la información y con qué autoridad; qué se ha intentado antes y por qué no se sostuvo; qué restricciones reales (dinero, tiempo, proveedor, rotación) limitan cada control; qué se hace hoy con los registros que el sistema produce; qué uso se da a asistentes de IA generativa en tareas administrativas y con qué información; y qué haría la organización si tuviera que demostrar cumplimiento ante un titular o una autoridad. Provee las razones de las brechas, que el cuestionario no captura.</w:t>
            </w:r>
          </w:p>
        </w:tc>
      </w:tr>
      <w:tr>
        <w:tc>
          <w:tcPr>
            <w:tcW w:type="dxa" w:w="3264"/>
          </w:tcPr>
          <w:p>
            <w:r/>
            <w:r>
              <w:rPr>
                <w:rFonts w:ascii="Calibri" w:hAnsi="Calibri"/>
                <w:b w:val="0"/>
                <w:color w:val="2B2B2B"/>
                <w:sz w:val="20"/>
              </w:rPr>
              <w:t>I5</w:t>
            </w:r>
          </w:p>
        </w:tc>
        <w:tc>
          <w:tcPr>
            <w:tcW w:type="dxa" w:w="3264"/>
          </w:tcPr>
          <w:p>
            <w:r/>
            <w:r>
              <w:rPr>
                <w:rFonts w:ascii="Calibri" w:hAnsi="Calibri"/>
                <w:b/>
                <w:color w:val="2B2B2B"/>
                <w:sz w:val="20"/>
              </w:rPr>
              <w:t>Formato de validación de aplicabilidad del modelo</w:t>
            </w:r>
          </w:p>
        </w:tc>
        <w:tc>
          <w:tcPr>
            <w:tcW w:type="dxa" w:w="3264"/>
          </w:tcPr>
          <w:p>
            <w:r/>
            <w:r>
              <w:rPr>
                <w:rFonts w:ascii="Calibri" w:hAnsi="Calibri"/>
                <w:b w:val="0"/>
                <w:color w:val="2B2B2B"/>
                <w:sz w:val="20"/>
              </w:rPr>
              <w:t xml:space="preserve">Cada recomendación del modelo se califica por el representante en escala con anclas: </w:t>
            </w:r>
            <w:r>
              <w:rPr>
                <w:rFonts w:ascii="Calibri" w:hAnsi="Calibri"/>
                <w:b/>
                <w:color w:val="2B2B2B"/>
                <w:sz w:val="20"/>
              </w:rPr>
              <w:t>aplicable con recursos propios</w:t>
            </w:r>
            <w:r>
              <w:rPr>
                <w:rFonts w:ascii="Calibri" w:hAnsi="Calibri"/>
                <w:b w:val="0"/>
                <w:color w:val="2B2B2B"/>
                <w:sz w:val="20"/>
              </w:rPr>
              <w:t xml:space="preserve"> / </w:t>
            </w:r>
            <w:r>
              <w:rPr>
                <w:rFonts w:ascii="Calibri" w:hAnsi="Calibri"/>
                <w:b/>
                <w:color w:val="2B2B2B"/>
                <w:sz w:val="20"/>
              </w:rPr>
              <w:t>aplicable con apoyo externo puntual</w:t>
            </w:r>
            <w:r>
              <w:rPr>
                <w:rFonts w:ascii="Calibri" w:hAnsi="Calibri"/>
                <w:b w:val="0"/>
                <w:color w:val="2B2B2B"/>
                <w:sz w:val="20"/>
              </w:rPr>
              <w:t xml:space="preserve"> / </w:t>
            </w:r>
            <w:r>
              <w:rPr>
                <w:rFonts w:ascii="Calibri" w:hAnsi="Calibri"/>
                <w:b/>
                <w:color w:val="2B2B2B"/>
                <w:sz w:val="20"/>
              </w:rPr>
              <w:t>no aplicable</w:t>
            </w:r>
            <w:r>
              <w:rPr>
                <w:rFonts w:ascii="Calibri" w:hAnsi="Calibri"/>
                <w:b w:val="0"/>
                <w:color w:val="2B2B2B"/>
                <w:sz w:val="20"/>
              </w:rPr>
              <w:t xml:space="preserve">, con motivo obligatorio en los dos últimos casos. Es el instrumento que contrasta H3 y el que produce el dato más útil si H3 se refuta: </w:t>
            </w:r>
            <w:r>
              <w:rPr>
                <w:rFonts w:ascii="Calibri" w:hAnsi="Calibri"/>
                <w:b/>
                <w:color w:val="2B2B2B"/>
                <w:sz w:val="20"/>
              </w:rPr>
              <w:t>qué recomendaciones fueron rechazadas y por qué</w:t>
            </w:r>
            <w:r>
              <w:rPr>
                <w:rFonts w:ascii="Calibri" w:hAnsi="Calibri"/>
                <w:b w:val="0"/>
                <w:color w:val="2B2B2B"/>
                <w:sz w:val="20"/>
              </w:rPr>
              <w:t>.</w:t>
            </w:r>
          </w:p>
        </w:tc>
      </w:tr>
      <w:tr>
        <w:tc>
          <w:tcPr>
            <w:tcW w:type="dxa" w:w="3264"/>
            <w:shd w:val="clear" w:fill="F5F7F5"/>
            <w:shd w:val="clear" w:fill="F5F7F5"/>
          </w:tcPr>
          <w:p>
            <w:r/>
            <w:r>
              <w:rPr>
                <w:rFonts w:ascii="Calibri" w:hAnsi="Calibri"/>
                <w:b w:val="0"/>
                <w:color w:val="2B2B2B"/>
                <w:sz w:val="20"/>
              </w:rPr>
              <w:t>I6</w:t>
            </w:r>
          </w:p>
        </w:tc>
        <w:tc>
          <w:tcPr>
            <w:tcW w:type="dxa" w:w="3264"/>
            <w:shd w:val="clear" w:fill="F5F7F5"/>
            <w:shd w:val="clear" w:fill="F5F7F5"/>
          </w:tcPr>
          <w:p>
            <w:r/>
            <w:r>
              <w:rPr>
                <w:rFonts w:ascii="Calibri" w:hAnsi="Calibri"/>
                <w:b/>
                <w:color w:val="2B2B2B"/>
                <w:sz w:val="20"/>
              </w:rPr>
              <w:t>Formato de consentimiento informado y compromiso de no entrega de datos personales</w:t>
            </w:r>
          </w:p>
        </w:tc>
        <w:tc>
          <w:tcPr>
            <w:tcW w:type="dxa" w:w="3264"/>
            <w:shd w:val="clear" w:fill="F5F7F5"/>
            <w:shd w:val="clear" w:fill="F5F7F5"/>
          </w:tcPr>
          <w:p>
            <w:r/>
            <w:r>
              <w:rPr>
                <w:rFonts w:ascii="Calibri" w:hAnsi="Calibri"/>
                <w:b w:val="0"/>
                <w:color w:val="2B2B2B"/>
                <w:sz w:val="20"/>
              </w:rPr>
              <w:t xml:space="preserve">Doble función. Consentimiento del representante y del personal entrevistado: propósito, uso, tratamiento anonimizado, voluntariedad, derecho de retiro, conservación y contacto. Y compromiso recíproco escrito: la organización se obliga a </w:t>
            </w:r>
            <w:r>
              <w:rPr>
                <w:rFonts w:ascii="Calibri" w:hAnsi="Calibri"/>
                <w:b/>
                <w:color w:val="2B2B2B"/>
                <w:sz w:val="20"/>
              </w:rPr>
              <w:t>anonimizar los registros en su propia infraestructura antes de compartirlos</w:t>
            </w:r>
            <w:r>
              <w:rPr>
                <w:rFonts w:ascii="Calibri" w:hAnsi="Calibri"/>
                <w:b w:val="0"/>
                <w:color w:val="2B2B2B"/>
                <w:sz w:val="20"/>
              </w:rPr>
              <w:t xml:space="preserve">, y el proyecto se obliga a </w:t>
            </w:r>
            <w:r>
              <w:rPr>
                <w:rFonts w:ascii="Calibri" w:hAnsi="Calibri"/>
                <w:b/>
                <w:color w:val="2B2B2B"/>
                <w:sz w:val="20"/>
              </w:rPr>
              <w:t>rechazar los que lleguen sin anonimizar</w:t>
            </w:r>
            <w:r>
              <w:rPr>
                <w:rFonts w:ascii="Calibri" w:hAnsi="Calibri"/>
                <w:b w:val="0"/>
                <w:color w:val="2B2B2B"/>
                <w:sz w:val="20"/>
              </w:rPr>
              <w:t xml:space="preserve"> y a no actuar como encargado del tratamiento (pendiente 10). Sujeto al aval del Comité de Ética de la Investigación Institucional antes de la primera visita.</w:t>
            </w:r>
          </w:p>
        </w:tc>
      </w:tr>
      <w:tr>
        <w:tc>
          <w:tcPr>
            <w:tcW w:type="dxa" w:w="3264"/>
          </w:tcPr>
          <w:p>
            <w:r/>
            <w:r>
              <w:rPr>
                <w:rFonts w:ascii="Calibri" w:hAnsi="Calibri"/>
                <w:b w:val="0"/>
                <w:color w:val="2B2B2B"/>
                <w:sz w:val="20"/>
              </w:rPr>
              <w:t>I7</w:t>
            </w:r>
          </w:p>
        </w:tc>
        <w:tc>
          <w:tcPr>
            <w:tcW w:type="dxa" w:w="3264"/>
          </w:tcPr>
          <w:p>
            <w:r/>
            <w:r>
              <w:rPr>
                <w:rFonts w:ascii="Calibri" w:hAnsi="Calibri"/>
                <w:b/>
                <w:color w:val="2B2B2B"/>
                <w:sz w:val="20"/>
              </w:rPr>
              <w:t>Especificación de registros y generador de conjuntos con anomalías inyectadas</w:t>
            </w:r>
          </w:p>
        </w:tc>
        <w:tc>
          <w:tcPr>
            <w:tcW w:type="dxa" w:w="3264"/>
          </w:tcPr>
          <w:p>
            <w:r/>
            <w:r>
              <w:rPr>
                <w:rFonts w:ascii="Calibri" w:hAnsi="Calibri"/>
                <w:b w:val="0"/>
                <w:color w:val="2B2B2B"/>
                <w:sz w:val="20"/>
              </w:rPr>
              <w:t xml:space="preserve">Fija los </w:t>
            </w:r>
            <w:r>
              <w:rPr>
                <w:rFonts w:ascii="Calibri" w:hAnsi="Calibri"/>
                <w:b/>
                <w:color w:val="2B2B2B"/>
                <w:sz w:val="20"/>
              </w:rPr>
              <w:t>atributos declarados</w:t>
            </w:r>
            <w:r>
              <w:rPr>
                <w:rFonts w:ascii="Calibri" w:hAnsi="Calibri"/>
                <w:b w:val="0"/>
                <w:color w:val="2B2B2B"/>
                <w:sz w:val="20"/>
              </w:rPr>
              <w:t xml:space="preserve"> del registro —</w:t>
            </w:r>
            <w:r>
              <w:rPr>
                <w:rFonts w:ascii="Calibri" w:hAnsi="Calibri"/>
                <w:b/>
                <w:color w:val="2B2B2B"/>
                <w:sz w:val="20"/>
              </w:rPr>
              <w:t>usuario, marca de tiempo, recurso, resultado de la autenticación y volumen</w:t>
            </w:r>
            <w:r>
              <w:rPr>
                <w:rFonts w:ascii="Calibri" w:hAnsi="Calibri"/>
                <w:b w:val="0"/>
                <w:color w:val="2B2B2B"/>
                <w:sz w:val="20"/>
              </w:rPr>
              <w:t xml:space="preserve">— y nada más: la restricción de atributos es una de las recomendaciones que Sommer y Paxson [23] hacen explícitas y aquí se cumple literalmente. Genera registros sintéticos con la estructura de los reales e </w:t>
            </w:r>
            <w:r>
              <w:rPr>
                <w:rFonts w:ascii="Calibri" w:hAnsi="Calibri"/>
                <w:b/>
                <w:color w:val="2B2B2B"/>
                <w:sz w:val="20"/>
              </w:rPr>
              <w:t>inyecta anomalías de referencia conocida por clases</w:t>
            </w:r>
            <w:r>
              <w:rPr>
                <w:rFonts w:ascii="Calibri" w:hAnsi="Calibri"/>
                <w:b w:val="0"/>
                <w:color w:val="2B2B2B"/>
                <w:sz w:val="20"/>
              </w:rPr>
              <w:t>: cuenta activa de personal retirado, credenciales compartidas (mismo usuario desde patrones incompatibles), acceso fuera del horario de operación y extracción de volumen anómalo. La verdad de referencia queda registrada por construcción, que es la única vía para calcular recuperación y precisión sin depender de que ocurra un incidente durante el estudio.</w:t>
            </w:r>
          </w:p>
        </w:tc>
      </w:tr>
      <w:tr>
        <w:tc>
          <w:tcPr>
            <w:tcW w:type="dxa" w:w="3264"/>
            <w:shd w:val="clear" w:fill="F5F7F5"/>
            <w:shd w:val="clear" w:fill="F5F7F5"/>
          </w:tcPr>
          <w:p>
            <w:r/>
            <w:r>
              <w:rPr>
                <w:rFonts w:ascii="Calibri" w:hAnsi="Calibri"/>
                <w:b w:val="0"/>
                <w:color w:val="2B2B2B"/>
                <w:sz w:val="20"/>
              </w:rPr>
              <w:t>I8</w:t>
            </w:r>
          </w:p>
        </w:tc>
        <w:tc>
          <w:tcPr>
            <w:tcW w:type="dxa" w:w="3264"/>
            <w:shd w:val="clear" w:fill="F5F7F5"/>
            <w:shd w:val="clear" w:fill="F5F7F5"/>
          </w:tcPr>
          <w:p>
            <w:r/>
            <w:r>
              <w:rPr>
                <w:rFonts w:ascii="Calibri" w:hAnsi="Calibri"/>
                <w:b/>
                <w:color w:val="2B2B2B"/>
                <w:sz w:val="20"/>
              </w:rPr>
              <w:t>Protocolo de evaluación del detector</w:t>
            </w:r>
          </w:p>
        </w:tc>
        <w:tc>
          <w:tcPr>
            <w:tcW w:type="dxa" w:w="3264"/>
            <w:shd w:val="clear" w:fill="F5F7F5"/>
            <w:shd w:val="clear" w:fill="F5F7F5"/>
          </w:tcPr>
          <w:p>
            <w:r/>
            <w:r>
              <w:rPr>
                <w:rFonts w:ascii="Calibri" w:hAnsi="Calibri"/>
                <w:b w:val="0"/>
                <w:color w:val="2B2B2B"/>
                <w:sz w:val="20"/>
              </w:rPr>
              <w:t xml:space="preserve">Define, </w:t>
            </w:r>
            <w:r>
              <w:rPr>
                <w:rFonts w:ascii="Calibri" w:hAnsi="Calibri"/>
                <w:b/>
                <w:color w:val="2B2B2B"/>
                <w:sz w:val="20"/>
              </w:rPr>
              <w:t>antes</w:t>
            </w:r>
            <w:r>
              <w:rPr>
                <w:rFonts w:ascii="Calibri" w:hAnsi="Calibri"/>
                <w:b w:val="0"/>
                <w:color w:val="2B2B2B"/>
                <w:sz w:val="20"/>
              </w:rPr>
              <w:t xml:space="preserve"> de ejecutar: métricas (recuperación, precisión y proporción de falsas alarmas sobre el total de registros analizados), los dos umbrales vinculantes de H4 (recuperación ≥ 70 % y falsas alarmas ≤ 5 %), el reporte </w:t>
            </w:r>
            <w:r>
              <w:rPr>
                <w:rFonts w:ascii="Calibri" w:hAnsi="Calibri"/>
                <w:b/>
                <w:color w:val="2B2B2B"/>
                <w:sz w:val="20"/>
              </w:rPr>
              <w:t>por clase de anomalía</w:t>
            </w:r>
            <w:r>
              <w:rPr>
                <w:rFonts w:ascii="Calibri" w:hAnsi="Calibri"/>
                <w:b w:val="0"/>
                <w:color w:val="2B2B2B"/>
                <w:sz w:val="20"/>
              </w:rPr>
              <w:t xml:space="preserve"> que exige H5, la fijación de semillas y la igualación del presupuesto de falsas alarmas entre el modelo no supervisado y el detector de referencia. Fijar el presupuesto de falsas alarmas como criterio y no como métrica secundaria se deriva de Axelsson [22]: con prevalencia muy baja, una tasa pequeña de falsos positivos basta para que la mayoría de las alertas no correspondan a incidentes, y en una organización donde nadie tiene asignada la tarea de revisarlas eso equivale a no tener detector.</w:t>
            </w:r>
          </w:p>
        </w:tc>
      </w:tr>
      <w:tr>
        <w:tc>
          <w:tcPr>
            <w:tcW w:type="dxa" w:w="3264"/>
          </w:tcPr>
          <w:p>
            <w:r/>
            <w:r>
              <w:rPr>
                <w:rFonts w:ascii="Calibri" w:hAnsi="Calibri"/>
                <w:b w:val="0"/>
                <w:color w:val="2B2B2B"/>
                <w:sz w:val="20"/>
              </w:rPr>
              <w:t>I9</w:t>
            </w:r>
          </w:p>
        </w:tc>
        <w:tc>
          <w:tcPr>
            <w:tcW w:type="dxa" w:w="3264"/>
          </w:tcPr>
          <w:p>
            <w:r/>
            <w:r>
              <w:rPr>
                <w:rFonts w:ascii="Calibri" w:hAnsi="Calibri"/>
                <w:b/>
                <w:color w:val="2B2B2B"/>
                <w:sz w:val="20"/>
              </w:rPr>
              <w:t>Registro de compromisos de adopción y de evidencia inicial</w:t>
            </w:r>
          </w:p>
        </w:tc>
        <w:tc>
          <w:tcPr>
            <w:tcW w:type="dxa" w:w="3264"/>
          </w:tcPr>
          <w:p>
            <w:r/>
            <w:r>
              <w:rPr>
                <w:rFonts w:ascii="Calibri" w:hAnsi="Calibri"/>
                <w:b w:val="0"/>
                <w:color w:val="2B2B2B"/>
                <w:sz w:val="20"/>
              </w:rPr>
              <w:t xml:space="preserve">Acta de la sesión de cierre: controles de la lista de verificación que la organización se compromete por escrito a implementar (mínimo tres) y evidencia de implementación observada </w:t>
            </w:r>
            <w:r>
              <w:rPr>
                <w:rFonts w:ascii="Calibri" w:hAnsi="Calibri"/>
                <w:b/>
                <w:color w:val="2B2B2B"/>
                <w:sz w:val="20"/>
              </w:rPr>
              <w:t>dentro de las 12 semanas</w:t>
            </w:r>
            <w:r>
              <w:rPr>
                <w:rFonts w:ascii="Calibri" w:hAnsi="Calibri"/>
                <w:b w:val="0"/>
                <w:color w:val="2B2B2B"/>
                <w:sz w:val="20"/>
              </w:rPr>
              <w:t xml:space="preserve">. Es el instrumento del indicador 4 del plan de evaluación de impacto y deja constancia de que </w:t>
            </w:r>
            <w:r>
              <w:rPr>
                <w:rFonts w:ascii="Calibri" w:hAnsi="Calibri"/>
                <w:b/>
                <w:color w:val="2B2B2B"/>
                <w:sz w:val="20"/>
              </w:rPr>
              <w:t>el seguimiento a tres meses queda fuera</w:t>
            </w:r>
            <w:r>
              <w:rPr>
                <w:rFonts w:ascii="Calibri" w:hAnsi="Calibri"/>
                <w:b w:val="0"/>
                <w:color w:val="2B2B2B"/>
                <w:sz w:val="20"/>
              </w:rPr>
              <w:t xml:space="preserve"> del proyecto.</w:t>
            </w:r>
          </w:p>
        </w:tc>
      </w:tr>
    </w:tbl>
    <w:p/>
    <w:p>
      <w:r>
        <w:rPr>
          <w:rFonts w:ascii="Calibri" w:hAnsi="Calibri"/>
          <w:b/>
          <w:color w:val="2B2B2B"/>
          <w:sz w:val="22"/>
        </w:rPr>
        <w:t>Instrumentos que se congelan antes de recoger datos.</w:t>
      </w:r>
      <w:r>
        <w:rPr>
          <w:rFonts w:ascii="Calibri" w:hAnsi="Calibri"/>
          <w:b w:val="0"/>
          <w:color w:val="2B2B2B"/>
          <w:sz w:val="22"/>
        </w:rPr>
        <w:t xml:space="preserve"> I2 (con su guía), I5 e I8 quedan en versión</w:t>
      </w:r>
    </w:p>
    <w:p>
      <w:r>
        <w:rPr>
          <w:rFonts w:ascii="Calibri" w:hAnsi="Calibri"/>
          <w:b w:val="0"/>
          <w:color w:val="2B2B2B"/>
          <w:sz w:val="22"/>
        </w:rPr>
        <w:t>congelada y fechada antes de la primera visita, de la primera validación y de la primera ejecución del</w:t>
      </w:r>
    </w:p>
    <w:p>
      <w:r>
        <w:rPr>
          <w:rFonts w:ascii="Calibri" w:hAnsi="Calibri"/>
          <w:b w:val="0"/>
          <w:color w:val="2B2B2B"/>
          <w:sz w:val="22"/>
        </w:rPr>
        <w:t>detector, respectivamente. La razón es la misma en los tres casos: un instrumento que se ajusta mientras</w:t>
      </w:r>
    </w:p>
    <w:p>
      <w:r>
        <w:rPr>
          <w:rFonts w:ascii="Calibri" w:hAnsi="Calibri"/>
          <w:b w:val="0"/>
          <w:color w:val="2B2B2B"/>
          <w:sz w:val="22"/>
        </w:rPr>
        <w:t>se aplica permite elegir el criterio después de ver el resultado. El umbral de acuerdo de 0,70 y los dos</w:t>
      </w:r>
    </w:p>
    <w:p>
      <w:r>
        <w:rPr>
          <w:rFonts w:ascii="Calibri" w:hAnsi="Calibri"/>
          <w:b w:val="0"/>
          <w:color w:val="2B2B2B"/>
          <w:sz w:val="22"/>
        </w:rPr>
        <w:t>umbrales de H4 forman parte de ese congelamiento.</w:t>
      </w:r>
    </w:p>
    <w:p>
      <w:pPr>
        <w:spacing w:before="200" w:after="60"/>
      </w:pPr>
      <w:r>
        <w:rPr>
          <w:rFonts w:ascii="Calibri" w:hAnsi="Calibri"/>
          <w:b/>
          <w:color w:val="007433"/>
          <w:sz w:val="32"/>
        </w:rPr>
        <w:t>Cómo se alcanza cada objetivo específico</w:t>
      </w:r>
    </w:p>
    <w:p>
      <w:r>
        <w:rPr>
          <w:rFonts w:ascii="Calibri" w:hAnsi="Calibri"/>
          <w:b w:val="0"/>
          <w:color w:val="2B2B2B"/>
          <w:sz w:val="22"/>
        </w:rPr>
        <w:t>**Objetivo específico 1 — Construir y validar el instrumento y aplicarlo con doble calificación</w:t>
      </w:r>
    </w:p>
    <w:p>
      <w:r>
        <w:rPr>
          <w:rFonts w:ascii="Calibri" w:hAnsi="Calibri"/>
          <w:b w:val="0"/>
          <w:color w:val="2B2B2B"/>
          <w:sz w:val="22"/>
        </w:rPr>
        <w:t>(semanas 1 a 6; actividades 1 a 7).**</w:t>
      </w:r>
    </w:p>
    <w:p>
      <w:pPr>
        <w:pStyle w:val="ListBullet"/>
      </w:pPr>
      <w:r>
        <w:rPr>
          <w:rFonts w:ascii="Calibri" w:hAnsi="Calibri"/>
          <w:b w:val="0"/>
          <w:color w:val="2B2B2B"/>
          <w:sz w:val="22"/>
        </w:rPr>
        <w:t>*Trámites habilitantes primero.* El objetivo empieza por lo que puede impedirlo: contacto previo con</w:t>
      </w:r>
    </w:p>
    <w:p>
      <w:r>
        <w:rPr>
          <w:rFonts w:ascii="Calibri" w:hAnsi="Calibri"/>
          <w:b w:val="0"/>
          <w:color w:val="2B2B2B"/>
          <w:sz w:val="22"/>
        </w:rPr>
        <w:t>la DNI conforme al Parágrafo 2 del numeral 5.1, gestión y firma del Anexo 3 por cada organización, y</w:t>
      </w:r>
    </w:p>
    <w:p>
      <w:r>
        <w:rPr>
          <w:rFonts w:ascii="Calibri" w:hAnsi="Calibri"/>
          <w:b w:val="0"/>
          <w:color w:val="2B2B2B"/>
          <w:sz w:val="22"/>
        </w:rPr>
        <w:t>radicación ante el Comité de Ética de la Investigación Institucional del protocolo, del instrumento y</w:t>
      </w:r>
    </w:p>
    <w:p>
      <w:r>
        <w:rPr>
          <w:rFonts w:ascii="Calibri" w:hAnsi="Calibri"/>
          <w:b w:val="0"/>
          <w:color w:val="2B2B2B"/>
          <w:sz w:val="22"/>
        </w:rPr>
        <w:t xml:space="preserve">del formato de consentimiento (I6). </w:t>
      </w:r>
      <w:r>
        <w:rPr>
          <w:rFonts w:ascii="Calibri" w:hAnsi="Calibri"/>
          <w:b/>
          <w:color w:val="2B2B2B"/>
          <w:sz w:val="22"/>
        </w:rPr>
        <w:t>Ninguna visita se realiza antes del aval del Comité.</w:t>
      </w:r>
    </w:p>
    <w:p>
      <w:pPr>
        <w:pStyle w:val="ListBullet"/>
      </w:pPr>
      <w:r>
        <w:rPr>
          <w:rFonts w:ascii="Calibri" w:hAnsi="Calibri"/>
          <w:b w:val="0"/>
          <w:color w:val="2B2B2B"/>
          <w:sz w:val="22"/>
        </w:rPr>
        <w:t>*Construcción.* Se elabora la matriz I1 recorriendo los deberes de la Ley 1581 de 2012 [6] y del</w:t>
      </w:r>
    </w:p>
    <w:p>
      <w:r>
        <w:rPr>
          <w:rFonts w:ascii="Calibri" w:hAnsi="Calibri"/>
          <w:b w:val="0"/>
          <w:color w:val="2B2B2B"/>
          <w:sz w:val="22"/>
        </w:rPr>
        <w:t>Decreto 1377 de 2013 [7] y contrastándolos con los controles de ISO/IEC 27001:2022 [4] e ISO/IEC</w:t>
      </w:r>
    </w:p>
    <w:p>
      <w:r>
        <w:rPr>
          <w:rFonts w:ascii="Calibri" w:hAnsi="Calibri"/>
          <w:b w:val="0"/>
          <w:color w:val="2B2B2B"/>
          <w:sz w:val="22"/>
        </w:rPr>
        <w:t>27002:2022 [5], con la priorización de aplicabilidad a capacidad limitada de [3] y [15]. Cada fila</w:t>
      </w:r>
    </w:p>
    <w:p>
      <w:r>
        <w:rPr>
          <w:rFonts w:ascii="Calibri" w:hAnsi="Calibri"/>
          <w:b w:val="0"/>
          <w:color w:val="2B2B2B"/>
          <w:sz w:val="22"/>
        </w:rPr>
        <w:t>cerrada genera uno o más ítems de I2 con sus anclas. Toda afirmación normativa se verifica contra el</w:t>
      </w:r>
    </w:p>
    <w:p>
      <w:r>
        <w:rPr>
          <w:rFonts w:ascii="Calibri" w:hAnsi="Calibri"/>
          <w:b w:val="0"/>
          <w:color w:val="2B2B2B"/>
          <w:sz w:val="22"/>
        </w:rPr>
        <w:t>texto oficial de la norma antes de incorporarse, y esa verificación la realiza el investigador.</w:t>
      </w:r>
    </w:p>
    <w:p>
      <w:pPr>
        <w:pStyle w:val="ListBullet"/>
      </w:pPr>
      <w:r>
        <w:rPr>
          <w:rFonts w:ascii="Calibri" w:hAnsi="Calibri"/>
          <w:b w:val="0"/>
          <w:color w:val="2B2B2B"/>
          <w:sz w:val="22"/>
        </w:rPr>
        <w:t>*Validez de contenido.* Juicio de tres expertos con I3 (un perfil jurídico en protección de datos, un</w:t>
      </w:r>
    </w:p>
    <w:p>
      <w:r>
        <w:rPr>
          <w:rFonts w:ascii="Calibri" w:hAnsi="Calibri"/>
          <w:b w:val="0"/>
          <w:color w:val="2B2B2B"/>
          <w:sz w:val="22"/>
        </w:rPr>
        <w:t>perfil técnico en seguridad de la información y un tercero externo al proyecto), depuración de los</w:t>
      </w:r>
    </w:p>
    <w:p>
      <w:r>
        <w:rPr>
          <w:rFonts w:ascii="Calibri" w:hAnsi="Calibri"/>
          <w:b w:val="0"/>
          <w:color w:val="2B2B2B"/>
          <w:sz w:val="22"/>
        </w:rPr>
        <w:t xml:space="preserve">ítems que no alcanzan el índice fijado, y </w:t>
      </w:r>
      <w:r>
        <w:rPr>
          <w:rFonts w:ascii="Calibri" w:hAnsi="Calibri"/>
          <w:b/>
          <w:color w:val="2B2B2B"/>
          <w:sz w:val="22"/>
        </w:rPr>
        <w:t>congelamiento fechado</w:t>
      </w:r>
      <w:r>
        <w:rPr>
          <w:rFonts w:ascii="Calibri" w:hAnsi="Calibri"/>
          <w:b w:val="0"/>
          <w:color w:val="2B2B2B"/>
          <w:sz w:val="22"/>
        </w:rPr>
        <w:t xml:space="preserve"> del instrumento. Se reporta el</w:t>
      </w:r>
    </w:p>
    <w:p>
      <w:r>
        <w:rPr>
          <w:rFonts w:ascii="Calibri" w:hAnsi="Calibri"/>
          <w:b w:val="0"/>
          <w:color w:val="2B2B2B"/>
          <w:sz w:val="22"/>
        </w:rPr>
        <w:t xml:space="preserve">índice por ítem </w:t>
      </w:r>
      <w:r>
        <w:rPr>
          <w:rFonts w:ascii="Calibri" w:hAnsi="Calibri"/>
          <w:b/>
          <w:color w:val="2B2B2B"/>
          <w:sz w:val="22"/>
        </w:rPr>
        <w:t>y</w:t>
      </w:r>
      <w:r>
        <w:rPr>
          <w:rFonts w:ascii="Calibri" w:hAnsi="Calibri"/>
          <w:b w:val="0"/>
          <w:color w:val="2B2B2B"/>
          <w:sz w:val="22"/>
        </w:rPr>
        <w:t xml:space="preserve"> la salvedad del panel pequeño: el instrumento queda depurado, no validado en</w:t>
      </w:r>
    </w:p>
    <w:p>
      <w:r>
        <w:rPr>
          <w:rFonts w:ascii="Calibri" w:hAnsi="Calibri"/>
          <w:b w:val="0"/>
          <w:color w:val="2B2B2B"/>
          <w:sz w:val="22"/>
        </w:rPr>
        <w:t>sentido fuerte.</w:t>
      </w:r>
    </w:p>
    <w:p>
      <w:pPr>
        <w:pStyle w:val="ListBullet"/>
      </w:pPr>
      <w:r>
        <w:rPr>
          <w:rFonts w:ascii="Calibri" w:hAnsi="Calibri"/>
          <w:b w:val="0"/>
          <w:color w:val="2B2B2B"/>
          <w:sz w:val="22"/>
        </w:rPr>
        <w:t>*Calibración del segundo diagnosticador.* El auxiliar de semillero recibe entrenamiento sobre las</w:t>
      </w:r>
    </w:p>
    <w:p>
      <w:r>
        <w:rPr>
          <w:rFonts w:ascii="Calibri" w:hAnsi="Calibri"/>
          <w:b w:val="0"/>
          <w:color w:val="2B2B2B"/>
          <w:sz w:val="22"/>
        </w:rPr>
        <w:t xml:space="preserve">anclas y califica, en paralelo con el investigador, un conjunto de </w:t>
      </w:r>
      <w:r>
        <w:rPr>
          <w:rFonts w:ascii="Calibri" w:hAnsi="Calibri"/>
          <w:b/>
          <w:color w:val="2B2B2B"/>
          <w:sz w:val="22"/>
        </w:rPr>
        <w:t>casos documentales escritos</w:t>
      </w:r>
      <w:r>
        <w:rPr>
          <w:rFonts w:ascii="Calibri" w:hAnsi="Calibri"/>
          <w:b w:val="0"/>
          <w:color w:val="2B2B2B"/>
          <w:sz w:val="22"/>
        </w:rPr>
        <w:t xml:space="preserve"> —no</w:t>
      </w:r>
    </w:p>
    <w:p>
      <w:r>
        <w:rPr>
          <w:rFonts w:ascii="Calibri" w:hAnsi="Calibri"/>
          <w:b w:val="0"/>
          <w:color w:val="2B2B2B"/>
          <w:sz w:val="22"/>
        </w:rPr>
        <w:t>una organización real, para no consumir uno de los tres a cinco casos disponibles—; las discrepancias</w:t>
      </w:r>
    </w:p>
    <w:p>
      <w:r>
        <w:rPr>
          <w:rFonts w:ascii="Calibri" w:hAnsi="Calibri"/>
          <w:b w:val="0"/>
          <w:color w:val="2B2B2B"/>
          <w:sz w:val="22"/>
        </w:rPr>
        <w:t xml:space="preserve">se resuelven ajustando la redacción de las anclas </w:t>
      </w:r>
      <w:r>
        <w:rPr>
          <w:rFonts w:ascii="Calibri" w:hAnsi="Calibri"/>
          <w:b/>
          <w:color w:val="2B2B2B"/>
          <w:sz w:val="22"/>
        </w:rPr>
        <w:t>antes</w:t>
      </w:r>
      <w:r>
        <w:rPr>
          <w:rFonts w:ascii="Calibri" w:hAnsi="Calibri"/>
          <w:b w:val="0"/>
          <w:color w:val="2B2B2B"/>
          <w:sz w:val="22"/>
        </w:rPr>
        <w:t xml:space="preserve"> del congelamiento.</w:t>
      </w:r>
    </w:p>
    <w:p>
      <w:pPr>
        <w:pStyle w:val="ListBullet"/>
      </w:pPr>
      <w:r>
        <w:rPr>
          <w:rFonts w:ascii="Calibri" w:hAnsi="Calibri"/>
          <w:b w:val="0"/>
          <w:color w:val="2B2B2B"/>
          <w:sz w:val="22"/>
        </w:rPr>
        <w:t>*Aplicación.* Visita a cada organización con entrevista estructurada y verificación documental de las</w:t>
      </w:r>
    </w:p>
    <w:p>
      <w:r>
        <w:rPr>
          <w:rFonts w:ascii="Calibri" w:hAnsi="Calibri"/>
          <w:b w:val="0"/>
          <w:color w:val="2B2B2B"/>
          <w:sz w:val="22"/>
        </w:rPr>
        <w:t>evidencias exhibidas voluntariamente. **Doble calificación independiente en al menos dos</w:t>
      </w:r>
    </w:p>
    <w:p>
      <w:r>
        <w:rPr>
          <w:rFonts w:ascii="Calibri" w:hAnsi="Calibri"/>
          <w:b w:val="0"/>
          <w:color w:val="2B2B2B"/>
          <w:sz w:val="22"/>
        </w:rPr>
        <w:t>organizaciones**: los dos calificadores asisten a la misma visita, observan la misma evidencia y</w:t>
      </w:r>
    </w:p>
    <w:p>
      <w:r>
        <w:rPr>
          <w:rFonts w:ascii="Calibri" w:hAnsi="Calibri"/>
          <w:b w:val="0"/>
          <w:color w:val="2B2B2B"/>
          <w:sz w:val="22"/>
        </w:rPr>
        <w:t>califican por separado sin consultarse, para que la discrepancia mida interpretación de las anclas y no</w:t>
      </w:r>
    </w:p>
    <w:p>
      <w:r>
        <w:rPr>
          <w:rFonts w:ascii="Calibri" w:hAnsi="Calibri"/>
          <w:b w:val="0"/>
          <w:color w:val="2B2B2B"/>
          <w:sz w:val="22"/>
        </w:rPr>
        <w:t>diferencia de información recibida.</w:t>
      </w:r>
    </w:p>
    <w:p>
      <w:pPr>
        <w:pStyle w:val="ListBullet"/>
      </w:pPr>
      <w:r>
        <w:rPr>
          <w:rFonts w:ascii="Calibri" w:hAnsi="Calibri"/>
          <w:b w:val="0"/>
          <w:color w:val="2B2B2B"/>
          <w:sz w:val="22"/>
        </w:rPr>
        <w:t>*Análisis.* Perfiles ordinales por dimensión (mediana y rango de los ítems). Fiabilidad estimada con</w:t>
      </w:r>
    </w:p>
    <w:p>
      <w:r>
        <w:rPr>
          <w:rFonts w:ascii="Calibri" w:hAnsi="Calibri"/>
          <w:b/>
          <w:color w:val="2B2B2B"/>
          <w:sz w:val="22"/>
        </w:rPr>
        <w:t>alfa de Krippendorff</w:t>
      </w:r>
      <w:r>
        <w:rPr>
          <w:rFonts w:ascii="Calibri" w:hAnsi="Calibri"/>
          <w:b w:val="0"/>
          <w:color w:val="2B2B2B"/>
          <w:sz w:val="22"/>
        </w:rPr>
        <w:t xml:space="preserve"> [12], que corrige el acuerdo esperado por azar y admite datos ordinales, con</w:t>
      </w:r>
    </w:p>
    <w:p>
      <w:r>
        <w:rPr>
          <w:rFonts w:ascii="Calibri" w:hAnsi="Calibri"/>
          <w:b w:val="0"/>
          <w:color w:val="2B2B2B"/>
          <w:sz w:val="22"/>
        </w:rPr>
        <w:t xml:space="preserve">el </w:t>
      </w:r>
      <w:r>
        <w:rPr>
          <w:rFonts w:ascii="Calibri" w:hAnsi="Calibri"/>
          <w:b/>
          <w:color w:val="2B2B2B"/>
          <w:sz w:val="22"/>
        </w:rPr>
        <w:t>umbral de 0,70 fijado por adelantado</w:t>
      </w:r>
      <w:r>
        <w:rPr>
          <w:rFonts w:ascii="Calibri" w:hAnsi="Calibri"/>
          <w:b w:val="0"/>
          <w:color w:val="2B2B2B"/>
          <w:sz w:val="22"/>
        </w:rPr>
        <w:t>; la literatura sitúa valores próximos a 0,80 como base de</w:t>
      </w:r>
    </w:p>
    <w:p>
      <w:r>
        <w:rPr>
          <w:rFonts w:ascii="Calibri" w:hAnsi="Calibri"/>
          <w:b w:val="0"/>
          <w:color w:val="2B2B2B"/>
          <w:sz w:val="22"/>
        </w:rPr>
        <w:t>conclusiones firmes y en torno a 0,667 como piso tentativo [19], y 0,70 es un intermedio que se declara</w:t>
      </w:r>
    </w:p>
    <w:p>
      <w:r>
        <w:rPr>
          <w:rFonts w:ascii="Calibri" w:hAnsi="Calibri"/>
          <w:b w:val="0"/>
          <w:color w:val="2B2B2B"/>
          <w:sz w:val="22"/>
        </w:rPr>
        <w:t>como tal, no un valor elegido después de ver el resultado. **Consecuencia escrita antes de medir: por</w:t>
      </w:r>
    </w:p>
    <w:p>
      <w:r>
        <w:rPr>
          <w:rFonts w:ascii="Calibri" w:hAnsi="Calibri"/>
          <w:b w:val="0"/>
          <w:color w:val="2B2B2B"/>
          <w:sz w:val="22"/>
        </w:rPr>
        <w:t>debajo de 0,70 el diagnóstico se reporta como exploratorio**, se publican los desacuerdos ítem por</w:t>
      </w:r>
    </w:p>
    <w:p>
      <w:r>
        <w:rPr>
          <w:rFonts w:ascii="Calibri" w:hAnsi="Calibri"/>
          <w:b w:val="0"/>
          <w:color w:val="2B2B2B"/>
          <w:sz w:val="22"/>
        </w:rPr>
        <w:t>ítem y no se presentan los perfiles como medición establecida.</w:t>
      </w:r>
    </w:p>
    <w:p>
      <w:pPr>
        <w:pStyle w:val="ListBullet"/>
      </w:pPr>
      <w:r>
        <w:rPr>
          <w:rFonts w:ascii="Calibri" w:hAnsi="Calibri"/>
          <w:b w:val="0"/>
          <w:color w:val="2B2B2B"/>
          <w:sz w:val="22"/>
        </w:rPr>
        <w:t>*Criterio de logro.* Instrumento congelado con matriz I1 completa y juicio de tres expertos</w:t>
      </w:r>
    </w:p>
    <w:p>
      <w:r>
        <w:rPr>
          <w:rFonts w:ascii="Calibri" w:hAnsi="Calibri"/>
          <w:b w:val="0"/>
          <w:color w:val="2B2B2B"/>
          <w:sz w:val="22"/>
        </w:rPr>
        <w:t>documentado; entre tres y cinco organizaciones diagnosticadas con el instrumento completo; al menos dos</w:t>
      </w:r>
    </w:p>
    <w:p>
      <w:r>
        <w:rPr>
          <w:rFonts w:ascii="Calibri" w:hAnsi="Calibri"/>
          <w:b w:val="0"/>
          <w:color w:val="2B2B2B"/>
          <w:sz w:val="22"/>
        </w:rPr>
        <w:t>con doble calificación; alfa reportado con su umbral y su consecuencia aplicada.</w:t>
      </w:r>
    </w:p>
    <w:p>
      <w:r>
        <w:rPr>
          <w:rFonts w:ascii="Calibri" w:hAnsi="Calibri"/>
          <w:b w:val="0"/>
          <w:color w:val="2B2B2B"/>
          <w:sz w:val="22"/>
        </w:rPr>
        <w:t>**Objetivo específico 2 — Caracterizar la madurez, y diseñar y validar el modelo de buenas prácticas</w:t>
      </w:r>
    </w:p>
    <w:p>
      <w:r>
        <w:rPr>
          <w:rFonts w:ascii="Calibri" w:hAnsi="Calibri"/>
          <w:b w:val="0"/>
          <w:color w:val="2B2B2B"/>
          <w:sz w:val="22"/>
        </w:rPr>
        <w:t>(semanas 5 a 10; actividades 8 a 13).**</w:t>
      </w:r>
    </w:p>
    <w:p>
      <w:pPr>
        <w:pStyle w:val="ListBullet"/>
      </w:pPr>
      <w:r>
        <w:rPr>
          <w:rFonts w:ascii="Calibri" w:hAnsi="Calibri"/>
          <w:b w:val="0"/>
          <w:color w:val="2B2B2B"/>
          <w:sz w:val="22"/>
        </w:rPr>
        <w:t>*Caracterización.* Perfil de ocho dimensiones por organización y perfil agregado; identificación de</w:t>
      </w:r>
    </w:p>
    <w:p>
      <w:r>
        <w:rPr>
          <w:rFonts w:ascii="Calibri" w:hAnsi="Calibri"/>
          <w:b/>
          <w:color w:val="2B2B2B"/>
          <w:sz w:val="22"/>
        </w:rPr>
        <w:t>brechas comunes</w:t>
      </w:r>
      <w:r>
        <w:rPr>
          <w:rFonts w:ascii="Calibri" w:hAnsi="Calibri"/>
          <w:b w:val="0"/>
          <w:color w:val="2B2B2B"/>
          <w:sz w:val="22"/>
        </w:rPr>
        <w:t xml:space="preserve"> (dimensiones con calificación baja en todas las organizaciones) y </w:t>
      </w:r>
      <w:r>
        <w:rPr>
          <w:rFonts w:ascii="Calibri" w:hAnsi="Calibri"/>
          <w:b/>
          <w:color w:val="2B2B2B"/>
          <w:sz w:val="22"/>
        </w:rPr>
        <w:t>específicas</w:t>
      </w:r>
    </w:p>
    <w:p>
      <w:r>
        <w:rPr>
          <w:rFonts w:ascii="Calibri" w:hAnsi="Calibri"/>
          <w:b w:val="0"/>
          <w:color w:val="2B2B2B"/>
          <w:sz w:val="22"/>
        </w:rPr>
        <w:t xml:space="preserve">(bajas en una o dos). Contraste </w:t>
      </w:r>
      <w:r>
        <w:rPr>
          <w:rFonts w:ascii="Calibri" w:hAnsi="Calibri"/>
          <w:b/>
          <w:color w:val="2B2B2B"/>
          <w:sz w:val="22"/>
        </w:rPr>
        <w:t>descriptivo</w:t>
      </w:r>
      <w:r>
        <w:rPr>
          <w:rFonts w:ascii="Calibri" w:hAnsi="Calibri"/>
          <w:b w:val="0"/>
          <w:color w:val="2B2B2B"/>
          <w:sz w:val="22"/>
        </w:rPr>
        <w:t xml:space="preserve"> de H1 comparando los bloques {D1, D2, D3} y {D4, D5,</w:t>
      </w:r>
    </w:p>
    <w:p>
      <w:r>
        <w:rPr>
          <w:rFonts w:ascii="Calibri" w:hAnsi="Calibri"/>
          <w:b w:val="0"/>
          <w:color w:val="2B2B2B"/>
          <w:sz w:val="22"/>
        </w:rPr>
        <w:t>D7} declarados arriba, sin pruebas de significación que tres a cinco casos no soportan y reportando D6</w:t>
      </w:r>
    </w:p>
    <w:p>
      <w:r>
        <w:rPr>
          <w:rFonts w:ascii="Calibri" w:hAnsi="Calibri"/>
          <w:b w:val="0"/>
          <w:color w:val="2B2B2B"/>
          <w:sz w:val="22"/>
        </w:rPr>
        <w:t>y D8 aparte.</w:t>
      </w:r>
    </w:p>
    <w:p>
      <w:pPr>
        <w:pStyle w:val="ListBullet"/>
      </w:pPr>
      <w:r>
        <w:rPr>
          <w:rFonts w:ascii="Calibri" w:hAnsi="Calibri"/>
          <w:b w:val="0"/>
          <w:color w:val="2B2B2B"/>
          <w:sz w:val="22"/>
        </w:rPr>
        <w:t>*Hebra cualitativa.* Entrevista semiestructurada con I4 al representante de cada organización.</w:t>
      </w:r>
    </w:p>
    <w:p>
      <w:r>
        <w:rPr>
          <w:rFonts w:ascii="Calibri" w:hAnsi="Calibri"/>
          <w:b w:val="0"/>
          <w:color w:val="2B2B2B"/>
          <w:sz w:val="22"/>
        </w:rPr>
        <w:t>Codificación de las respuestas abiertas con libro de códigos, con **codificación asistida por</w:t>
      </w:r>
    </w:p>
    <w:p>
      <w:r>
        <w:rPr>
          <w:rFonts w:ascii="Calibri" w:hAnsi="Calibri"/>
          <w:b w:val="0"/>
          <w:color w:val="2B2B2B"/>
          <w:sz w:val="22"/>
        </w:rPr>
        <w:t>asistente de IA generativa y codificación humana de contraste**, y reporte del acuerdo entre ambas;</w:t>
      </w:r>
    </w:p>
    <w:p>
      <w:r>
        <w:rPr>
          <w:rFonts w:ascii="Calibri" w:hAnsi="Calibri"/>
          <w:b w:val="0"/>
          <w:color w:val="2B2B2B"/>
          <w:sz w:val="22"/>
        </w:rPr>
        <w:t>ninguna categoría se acepta por sugerencia no examinada del modelo. Las razones codificadas explican</w:t>
      </w:r>
    </w:p>
    <w:p>
      <w:r>
        <w:rPr>
          <w:rFonts w:ascii="Calibri" w:hAnsi="Calibri"/>
          <w:b w:val="0"/>
          <w:color w:val="2B2B2B"/>
          <w:sz w:val="22"/>
        </w:rPr>
        <w:t>por qué una brecha persiste, dato que la calificación ordinal no contiene.</w:t>
      </w:r>
    </w:p>
    <w:p>
      <w:pPr>
        <w:pStyle w:val="ListBullet"/>
      </w:pPr>
      <w:r>
        <w:rPr>
          <w:rFonts w:ascii="Calibri" w:hAnsi="Calibri"/>
          <w:b w:val="0"/>
          <w:color w:val="2B2B2B"/>
          <w:sz w:val="22"/>
        </w:rPr>
        <w:t>*Punto de integración.* Aquí ocurre, y es un momento identificable del cronograma: **la versión 1 del</w:t>
      </w:r>
    </w:p>
    <w:p>
      <w:r>
        <w:rPr>
          <w:rFonts w:ascii="Calibri" w:hAnsi="Calibri"/>
          <w:b w:val="0"/>
          <w:color w:val="2B2B2B"/>
          <w:sz w:val="22"/>
        </w:rPr>
        <w:t>modelo se construye a partir de las brechas diagnosticadas** —cada recomendación se ancla a una</w:t>
      </w:r>
    </w:p>
    <w:p>
      <w:r>
        <w:rPr>
          <w:rFonts w:ascii="Calibri" w:hAnsi="Calibri"/>
          <w:b w:val="0"/>
          <w:color w:val="2B2B2B"/>
          <w:sz w:val="22"/>
        </w:rPr>
        <w:t>dimensión con calificación deficitaria y a la restricción que la entrevista reveló—, con dos</w:t>
      </w:r>
    </w:p>
    <w:p>
      <w:r>
        <w:rPr>
          <w:rFonts w:ascii="Calibri" w:hAnsi="Calibri"/>
          <w:b w:val="0"/>
          <w:color w:val="2B2B2B"/>
          <w:sz w:val="22"/>
        </w:rPr>
        <w:t xml:space="preserve">componentes, </w:t>
      </w:r>
      <w:r>
        <w:rPr>
          <w:rFonts w:ascii="Calibri" w:hAnsi="Calibri"/>
          <w:b/>
          <w:color w:val="2B2B2B"/>
          <w:sz w:val="22"/>
        </w:rPr>
        <w:t>lista de verificación</w:t>
      </w:r>
      <w:r>
        <w:rPr>
          <w:rFonts w:ascii="Calibri" w:hAnsi="Calibri"/>
          <w:b w:val="0"/>
          <w:color w:val="2B2B2B"/>
          <w:sz w:val="22"/>
        </w:rPr>
        <w:t xml:space="preserve"> y </w:t>
      </w:r>
      <w:r>
        <w:rPr>
          <w:rFonts w:ascii="Calibri" w:hAnsi="Calibri"/>
          <w:b/>
          <w:color w:val="2B2B2B"/>
          <w:sz w:val="22"/>
        </w:rPr>
        <w:t>protocolo operativo</w:t>
      </w:r>
      <w:r>
        <w:rPr>
          <w:rFonts w:ascii="Calibri" w:hAnsi="Calibri"/>
          <w:b w:val="0"/>
          <w:color w:val="2B2B2B"/>
          <w:sz w:val="22"/>
        </w:rPr>
        <w:t>, y con el **apartado de uso de</w:t>
      </w:r>
    </w:p>
    <w:p>
      <w:r>
        <w:rPr>
          <w:rFonts w:ascii="Calibri" w:hAnsi="Calibri"/>
          <w:b w:val="0"/>
          <w:color w:val="2B2B2B"/>
          <w:sz w:val="22"/>
        </w:rPr>
        <w:t>asistentes de IA generativa por la propia organización**: qué categorías de dato no deben salir, cómo</w:t>
      </w:r>
    </w:p>
    <w:p>
      <w:r>
        <w:rPr>
          <w:rFonts w:ascii="Calibri" w:hAnsi="Calibri"/>
          <w:b w:val="0"/>
          <w:color w:val="2B2B2B"/>
          <w:sz w:val="22"/>
        </w:rPr>
        <w:t>desactivar el uso de las entradas para entrenamiento cuando el proveedor lo permite y cómo declarar el</w:t>
      </w:r>
    </w:p>
    <w:p>
      <w:r>
        <w:rPr>
          <w:rFonts w:ascii="Calibri" w:hAnsi="Calibri"/>
          <w:b w:val="0"/>
          <w:color w:val="2B2B2B"/>
          <w:sz w:val="22"/>
        </w:rPr>
        <w:t>uso ante los titulares. Ese apartado no es un añadido de actualidad: la memorización extraíble</w:t>
      </w:r>
    </w:p>
    <w:p>
      <w:r>
        <w:rPr>
          <w:rFonts w:ascii="Calibri" w:hAnsi="Calibri"/>
          <w:b w:val="0"/>
          <w:color w:val="2B2B2B"/>
          <w:sz w:val="22"/>
        </w:rPr>
        <w:t>documentada por Carlini y colaboradores [24] muestra que el dato entregado a un modelo no es</w:t>
      </w:r>
    </w:p>
    <w:p>
      <w:r>
        <w:rPr>
          <w:rFonts w:ascii="Calibri" w:hAnsi="Calibri"/>
          <w:b w:val="0"/>
          <w:color w:val="2B2B2B"/>
          <w:sz w:val="22"/>
        </w:rPr>
        <w:t>necesariamente efímero, de modo que la práctica constituye un riesgo de protección de datos y no solo</w:t>
      </w:r>
    </w:p>
    <w:p>
      <w:r>
        <w:rPr>
          <w:rFonts w:ascii="Calibri" w:hAnsi="Calibri"/>
          <w:b w:val="0"/>
          <w:color w:val="2B2B2B"/>
          <w:sz w:val="22"/>
        </w:rPr>
        <w:t>de confidencialidad comercial.</w:t>
      </w:r>
    </w:p>
    <w:p>
      <w:pPr>
        <w:pStyle w:val="ListBullet"/>
      </w:pPr>
      <w:r>
        <w:rPr>
          <w:rFonts w:ascii="Calibri" w:hAnsi="Calibri"/>
          <w:b w:val="0"/>
          <w:color w:val="2B2B2B"/>
          <w:sz w:val="22"/>
        </w:rPr>
        <w:t>*Validación por sus destinatarios.* Cada representante califica cada recomendación con I5. **Umbral de</w:t>
      </w:r>
    </w:p>
    <w:p>
      <w:r>
        <w:rPr>
          <w:rFonts w:ascii="Calibri" w:hAnsi="Calibri"/>
          <w:b w:val="0"/>
          <w:color w:val="2B2B2B"/>
          <w:sz w:val="22"/>
        </w:rPr>
        <w:t>H3 fijado por adelantado: 70 % de recomendaciones aplicables con recursos propios.** Si no se alcanza,</w:t>
      </w:r>
    </w:p>
    <w:p>
      <w:r>
        <w:rPr>
          <w:rFonts w:ascii="Calibri" w:hAnsi="Calibri"/>
          <w:b w:val="0"/>
          <w:color w:val="2B2B2B"/>
          <w:sz w:val="22"/>
        </w:rPr>
        <w:t>el resultado se reporta como refutación y se documenta el catálogo razonado de rechazos, que es</w:t>
      </w:r>
    </w:p>
    <w:p>
      <w:r>
        <w:rPr>
          <w:rFonts w:ascii="Calibri" w:hAnsi="Calibri"/>
          <w:b w:val="0"/>
          <w:color w:val="2B2B2B"/>
          <w:sz w:val="22"/>
        </w:rPr>
        <w:t>información más útil para la institución que un modelo que nadie usará.</w:t>
      </w:r>
    </w:p>
    <w:p>
      <w:pPr>
        <w:pStyle w:val="ListBullet"/>
      </w:pPr>
      <w:r>
        <w:rPr>
          <w:rFonts w:ascii="Calibri" w:hAnsi="Calibri"/>
          <w:b w:val="0"/>
          <w:color w:val="2B2B2B"/>
          <w:sz w:val="22"/>
        </w:rPr>
        <w:t>*Cierre con las organizaciones.* Versión final del modelo integrando la validación y los hallazgos del</w:t>
      </w:r>
    </w:p>
    <w:p>
      <w:r>
        <w:rPr>
          <w:rFonts w:ascii="Calibri" w:hAnsi="Calibri"/>
          <w:b w:val="0"/>
          <w:color w:val="2B2B2B"/>
          <w:sz w:val="22"/>
        </w:rPr>
        <w:t xml:space="preserve">prototipo, producción de la </w:t>
      </w:r>
      <w:r>
        <w:rPr>
          <w:rFonts w:ascii="Calibri" w:hAnsi="Calibri"/>
          <w:b/>
          <w:color w:val="2B2B2B"/>
          <w:sz w:val="22"/>
        </w:rPr>
        <w:t>cartilla en lenguaje no técnico</w:t>
      </w:r>
      <w:r>
        <w:rPr>
          <w:rFonts w:ascii="Calibri" w:hAnsi="Calibri"/>
          <w:b w:val="0"/>
          <w:color w:val="2B2B2B"/>
          <w:sz w:val="22"/>
        </w:rPr>
        <w:t>, y sesión de cierre por organización</w:t>
      </w:r>
    </w:p>
    <w:p>
      <w:r>
        <w:rPr>
          <w:rFonts w:ascii="Calibri" w:hAnsi="Calibri"/>
          <w:b w:val="0"/>
          <w:color w:val="2B2B2B"/>
          <w:sz w:val="22"/>
        </w:rPr>
        <w:t>con entrega del informe individual y diligenciamiento del acta de compromisos (I9). A cada organización</w:t>
      </w:r>
    </w:p>
    <w:p>
      <w:r>
        <w:rPr>
          <w:rFonts w:ascii="Calibri" w:hAnsi="Calibri"/>
          <w:b w:val="0"/>
          <w:color w:val="2B2B2B"/>
          <w:sz w:val="22"/>
        </w:rPr>
        <w:t xml:space="preserve">se le entrega por escrito una </w:t>
      </w:r>
      <w:r>
        <w:rPr>
          <w:rFonts w:ascii="Calibri" w:hAnsi="Calibri"/>
          <w:b/>
          <w:color w:val="2B2B2B"/>
          <w:sz w:val="22"/>
        </w:rPr>
        <w:t>constancia de participación en una investigación</w:t>
      </w:r>
      <w:r>
        <w:rPr>
          <w:rFonts w:ascii="Calibri" w:hAnsi="Calibri"/>
          <w:b w:val="0"/>
          <w:color w:val="2B2B2B"/>
          <w:sz w:val="22"/>
        </w:rPr>
        <w:t>, nunca un</w:t>
      </w:r>
    </w:p>
    <w:p>
      <w:r>
        <w:rPr>
          <w:rFonts w:ascii="Calibri" w:hAnsi="Calibri"/>
          <w:b w:val="0"/>
          <w:color w:val="2B2B2B"/>
          <w:sz w:val="22"/>
        </w:rPr>
        <w:t>certificado de conformidad.</w:t>
      </w:r>
    </w:p>
    <w:p>
      <w:pPr>
        <w:pStyle w:val="ListBullet"/>
      </w:pPr>
      <w:r>
        <w:rPr>
          <w:rFonts w:ascii="Calibri" w:hAnsi="Calibri"/>
          <w:b w:val="0"/>
          <w:color w:val="2B2B2B"/>
          <w:sz w:val="22"/>
        </w:rPr>
        <w:t>*Criterio de logro.* Perfiles y brechas documentados; entrevistas realizadas y codificadas con acuerdo</w:t>
      </w:r>
    </w:p>
    <w:p>
      <w:r>
        <w:rPr>
          <w:rFonts w:ascii="Calibri" w:hAnsi="Calibri"/>
          <w:b w:val="0"/>
          <w:color w:val="2B2B2B"/>
          <w:sz w:val="22"/>
        </w:rPr>
        <w:t>reportado; modelo en versión final; I5 diligenciado por todas las organizaciones participantes;</w:t>
      </w:r>
    </w:p>
    <w:p>
      <w:r>
        <w:rPr>
          <w:rFonts w:ascii="Calibri" w:hAnsi="Calibri"/>
          <w:b w:val="0"/>
          <w:color w:val="2B2B2B"/>
          <w:sz w:val="22"/>
        </w:rPr>
        <w:t>cartilla entregada y actas de cierre firmadas.</w:t>
      </w:r>
    </w:p>
    <w:p>
      <w:r>
        <w:rPr>
          <w:rFonts w:ascii="Calibri" w:hAnsi="Calibri"/>
          <w:b w:val="0"/>
          <w:color w:val="2B2B2B"/>
          <w:sz w:val="22"/>
        </w:rPr>
        <w:t>**Objetivo específico 3 — Implementar y evaluar el prototipo de detección de anomalías (semanas 4 a 11;</w:t>
      </w:r>
    </w:p>
    <w:p>
      <w:r>
        <w:rPr>
          <w:rFonts w:ascii="Calibri" w:hAnsi="Calibri"/>
          <w:b w:val="0"/>
          <w:color w:val="2B2B2B"/>
          <w:sz w:val="22"/>
        </w:rPr>
        <w:t>actividades 14 a 19).**</w:t>
      </w:r>
    </w:p>
    <w:p>
      <w:pPr>
        <w:pStyle w:val="ListBullet"/>
      </w:pPr>
      <w:r>
        <w:rPr>
          <w:rFonts w:ascii="Calibri" w:hAnsi="Calibri"/>
          <w:b w:val="0"/>
          <w:color w:val="2B2B2B"/>
          <w:sz w:val="22"/>
        </w:rPr>
        <w:t xml:space="preserve">*Datos, y por qué son estos.* Se trabaja sobre registros </w:t>
      </w:r>
      <w:r>
        <w:rPr>
          <w:rFonts w:ascii="Calibri" w:hAnsi="Calibri"/>
          <w:b/>
          <w:color w:val="2B2B2B"/>
          <w:sz w:val="22"/>
        </w:rPr>
        <w:t>sintéticos</w:t>
      </w:r>
      <w:r>
        <w:rPr>
          <w:rFonts w:ascii="Calibri" w:hAnsi="Calibri"/>
          <w:b w:val="0"/>
          <w:color w:val="2B2B2B"/>
          <w:sz w:val="22"/>
        </w:rPr>
        <w:t xml:space="preserve"> generados con la estructura de</w:t>
      </w:r>
    </w:p>
    <w:p>
      <w:r>
        <w:rPr>
          <w:rFonts w:ascii="Calibri" w:hAnsi="Calibri"/>
          <w:b w:val="0"/>
          <w:color w:val="2B2B2B"/>
          <w:sz w:val="22"/>
        </w:rPr>
        <w:t xml:space="preserve">los reales y sobre registros </w:t>
      </w:r>
      <w:r>
        <w:rPr>
          <w:rFonts w:ascii="Calibri" w:hAnsi="Calibri"/>
          <w:b/>
          <w:color w:val="2B2B2B"/>
          <w:sz w:val="22"/>
        </w:rPr>
        <w:t>anonimizados por la propia organización</w:t>
      </w:r>
      <w:r>
        <w:rPr>
          <w:rFonts w:ascii="Calibri" w:hAnsi="Calibri"/>
          <w:b w:val="0"/>
          <w:color w:val="2B2B2B"/>
          <w:sz w:val="22"/>
        </w:rPr>
        <w:t>, con los cinco atributos</w:t>
      </w:r>
    </w:p>
    <w:p>
      <w:r>
        <w:rPr>
          <w:rFonts w:ascii="Calibri" w:hAnsi="Calibri"/>
          <w:b w:val="0"/>
          <w:color w:val="2B2B2B"/>
          <w:sz w:val="22"/>
        </w:rPr>
        <w:t xml:space="preserve">declarados en I7. El régimen es </w:t>
      </w:r>
      <w:r>
        <w:rPr>
          <w:rFonts w:ascii="Calibri" w:hAnsi="Calibri"/>
          <w:b/>
          <w:color w:val="2B2B2B"/>
          <w:sz w:val="22"/>
        </w:rPr>
        <w:t>no supervisado</w:t>
      </w:r>
      <w:r>
        <w:rPr>
          <w:rFonts w:ascii="Calibri" w:hAnsi="Calibri"/>
          <w:b w:val="0"/>
          <w:color w:val="2B2B2B"/>
          <w:sz w:val="22"/>
        </w:rPr>
        <w:t xml:space="preserve"> por disponibilidad de datos y no por preferencia:</w:t>
      </w:r>
    </w:p>
    <w:p>
      <w:r>
        <w:rPr>
          <w:rFonts w:ascii="Calibri" w:hAnsi="Calibri"/>
          <w:b w:val="0"/>
          <w:color w:val="2B2B2B"/>
          <w:sz w:val="22"/>
        </w:rPr>
        <w:t>ninguna organización participante tiene histórico etiquetado de incidentes, y Chandola, Banerjee y</w:t>
      </w:r>
    </w:p>
    <w:p>
      <w:r>
        <w:rPr>
          <w:rFonts w:ascii="Calibri" w:hAnsi="Calibri"/>
          <w:b w:val="0"/>
          <w:color w:val="2B2B2B"/>
          <w:sz w:val="22"/>
        </w:rPr>
        <w:t>Kumar [10] establecen que en ausencia de etiquetas la evaluación es el eslabón débil del problema. De</w:t>
      </w:r>
    </w:p>
    <w:p>
      <w:r>
        <w:rPr>
          <w:rFonts w:ascii="Calibri" w:hAnsi="Calibri"/>
          <w:b w:val="0"/>
          <w:color w:val="2B2B2B"/>
          <w:sz w:val="22"/>
        </w:rPr>
        <w:t>ahí la inyección de anomalías de referencia conocida.</w:t>
      </w:r>
    </w:p>
    <w:p>
      <w:pPr>
        <w:pStyle w:val="ListBullet"/>
      </w:pPr>
      <w:r>
        <w:rPr>
          <w:rFonts w:ascii="Calibri" w:hAnsi="Calibri"/>
          <w:b w:val="0"/>
          <w:color w:val="2B2B2B"/>
          <w:sz w:val="22"/>
        </w:rPr>
        <w:t xml:space="preserve">*Implementación.* Detector no supervisado con </w:t>
      </w:r>
      <w:r>
        <w:rPr>
          <w:rFonts w:ascii="Calibri" w:hAnsi="Calibri"/>
          <w:b/>
          <w:color w:val="2B2B2B"/>
          <w:sz w:val="22"/>
        </w:rPr>
        <w:t>Isolation Forest</w:t>
      </w:r>
      <w:r>
        <w:rPr>
          <w:rFonts w:ascii="Calibri" w:hAnsi="Calibri"/>
          <w:b w:val="0"/>
          <w:color w:val="2B2B2B"/>
          <w:sz w:val="22"/>
        </w:rPr>
        <w:t xml:space="preserve"> [11] en </w:t>
      </w:r>
      <w:r>
        <w:rPr>
          <w:rFonts w:ascii="Consolas" w:hAnsi="Consolas"/>
          <w:color w:val="111111"/>
          <w:sz w:val="21"/>
        </w:rPr>
        <w:t>scikit-learn</w:t>
      </w:r>
      <w:r>
        <w:rPr>
          <w:rFonts w:ascii="Calibri" w:hAnsi="Calibri"/>
          <w:b w:val="0"/>
          <w:color w:val="2B2B2B"/>
          <w:sz w:val="22"/>
        </w:rPr>
        <w:t xml:space="preserve"> [21], con</w:t>
      </w:r>
    </w:p>
    <w:p>
      <w:r>
        <w:rPr>
          <w:rFonts w:ascii="Calibri" w:hAnsi="Calibri"/>
          <w:b w:val="0"/>
          <w:color w:val="2B2B2B"/>
          <w:sz w:val="22"/>
        </w:rPr>
        <w:t xml:space="preserve">semillas fijadas y parámetros documentados. En paralelo, </w:t>
      </w:r>
      <w:r>
        <w:rPr>
          <w:rFonts w:ascii="Calibri" w:hAnsi="Calibri"/>
          <w:b/>
          <w:color w:val="2B2B2B"/>
          <w:sz w:val="22"/>
        </w:rPr>
        <w:t>detector estadístico de referencia</w:t>
      </w:r>
      <w:r>
        <w:rPr>
          <w:rFonts w:ascii="Calibri" w:hAnsi="Calibri"/>
          <w:b w:val="0"/>
          <w:color w:val="2B2B2B"/>
          <w:sz w:val="22"/>
        </w:rPr>
        <w:t xml:space="preserve"> con</w:t>
      </w:r>
    </w:p>
    <w:p>
      <w:r>
        <w:rPr>
          <w:rFonts w:ascii="Calibri" w:hAnsi="Calibri"/>
          <w:b w:val="0"/>
          <w:color w:val="2B2B2B"/>
          <w:sz w:val="22"/>
        </w:rPr>
        <w:t>umbrales sobre desviación estándar y reglas simples. Este segundo detector se presenta por lo que es:</w:t>
      </w:r>
    </w:p>
    <w:p>
      <w:r>
        <w:rPr>
          <w:rFonts w:ascii="Calibri" w:hAnsi="Calibri"/>
          <w:b w:val="0"/>
          <w:color w:val="2B2B2B"/>
          <w:sz w:val="22"/>
        </w:rPr>
        <w:t xml:space="preserve">el </w:t>
      </w:r>
      <w:r>
        <w:rPr>
          <w:rFonts w:ascii="Calibri" w:hAnsi="Calibri"/>
          <w:b/>
          <w:color w:val="2B2B2B"/>
          <w:sz w:val="22"/>
        </w:rPr>
        <w:t>paradigma fundacional del campo</w:t>
      </w:r>
      <w:r>
        <w:rPr>
          <w:rFonts w:ascii="Calibri" w:hAnsi="Calibri"/>
          <w:b w:val="0"/>
          <w:color w:val="2B2B2B"/>
          <w:sz w:val="22"/>
        </w:rPr>
        <w:t>, la formulación de Denning [20] de perfiles estadísticos de</w:t>
      </w:r>
    </w:p>
    <w:p>
      <w:r>
        <w:rPr>
          <w:rFonts w:ascii="Calibri" w:hAnsi="Calibri"/>
          <w:b w:val="0"/>
          <w:color w:val="2B2B2B"/>
          <w:sz w:val="22"/>
        </w:rPr>
        <w:t>comportamiento normal sobre registros de auditoría. No es un rival debilitado construido para perder;</w:t>
      </w:r>
    </w:p>
    <w:p>
      <w:r>
        <w:rPr>
          <w:rFonts w:ascii="Calibri" w:hAnsi="Calibri"/>
          <w:b w:val="0"/>
          <w:color w:val="2B2B2B"/>
          <w:sz w:val="22"/>
        </w:rPr>
        <w:t>superarlo es un resultado y no un trámite, y es exactamente lo que H5 pone a prueba.</w:t>
      </w:r>
    </w:p>
    <w:p>
      <w:pPr>
        <w:pStyle w:val="ListBullet"/>
      </w:pPr>
      <w:r>
        <w:rPr>
          <w:rFonts w:ascii="Calibri" w:hAnsi="Calibri"/>
          <w:b w:val="0"/>
          <w:color w:val="2B2B2B"/>
          <w:sz w:val="22"/>
        </w:rPr>
        <w:t>*Evaluación.* Con I8: recuperación, precisión y proporción de falsas alarmas frente a la verdad de</w:t>
      </w:r>
    </w:p>
    <w:p>
      <w:r>
        <w:rPr>
          <w:rFonts w:ascii="Calibri" w:hAnsi="Calibri"/>
          <w:b w:val="0"/>
          <w:color w:val="2B2B2B"/>
          <w:sz w:val="22"/>
        </w:rPr>
        <w:t xml:space="preserve">referencia conocida, </w:t>
      </w:r>
      <w:r>
        <w:rPr>
          <w:rFonts w:ascii="Calibri" w:hAnsi="Calibri"/>
          <w:b/>
          <w:color w:val="2B2B2B"/>
          <w:sz w:val="22"/>
        </w:rPr>
        <w:t>por clase de anomalía</w:t>
      </w:r>
      <w:r>
        <w:rPr>
          <w:rFonts w:ascii="Calibri" w:hAnsi="Calibri"/>
          <w:b w:val="0"/>
          <w:color w:val="2B2B2B"/>
          <w:sz w:val="22"/>
        </w:rPr>
        <w:t>, con el presupuesto de falsas alarmas igualado entre los</w:t>
      </w:r>
    </w:p>
    <w:p>
      <w:r>
        <w:rPr>
          <w:rFonts w:ascii="Calibri" w:hAnsi="Calibri"/>
          <w:b w:val="0"/>
          <w:color w:val="2B2B2B"/>
          <w:sz w:val="22"/>
        </w:rPr>
        <w:t xml:space="preserve">dos detectores. H4 exige </w:t>
      </w:r>
      <w:r>
        <w:rPr>
          <w:rFonts w:ascii="Calibri" w:hAnsi="Calibri"/>
          <w:b/>
          <w:color w:val="2B2B2B"/>
          <w:sz w:val="22"/>
        </w:rPr>
        <w:t>los dos umbrales simultáneamente</w:t>
      </w:r>
      <w:r>
        <w:rPr>
          <w:rFonts w:ascii="Calibri" w:hAnsi="Calibri"/>
          <w:b w:val="0"/>
          <w:color w:val="2B2B2B"/>
          <w:sz w:val="22"/>
        </w:rPr>
        <w:t xml:space="preserve"> —recuperación ≥ 70 % y falsas alarmas</w:t>
      </w:r>
    </w:p>
    <w:p>
      <w:r>
        <w:rPr>
          <w:rFonts w:ascii="Calibri" w:hAnsi="Calibri"/>
          <w:b w:val="0"/>
          <w:color w:val="2B2B2B"/>
          <w:sz w:val="22"/>
        </w:rPr>
        <w:t>≤ 5 %— y se declara refutada si falla cualquiera de ellos; el segundo no es una métrica secundaria sino</w:t>
      </w:r>
    </w:p>
    <w:p>
      <w:r>
        <w:rPr>
          <w:rFonts w:ascii="Calibri" w:hAnsi="Calibri"/>
          <w:b w:val="0"/>
          <w:color w:val="2B2B2B"/>
          <w:sz w:val="22"/>
        </w:rPr>
        <w:t>la consecuencia directa de la falacia de la tasa base [22] en un destinatario sin personal dedicado a</w:t>
      </w:r>
    </w:p>
    <w:p>
      <w:r>
        <w:rPr>
          <w:rFonts w:ascii="Calibri" w:hAnsi="Calibri"/>
          <w:b w:val="0"/>
          <w:color w:val="2B2B2B"/>
          <w:sz w:val="22"/>
        </w:rPr>
        <w:t>revisar alertas.</w:t>
      </w:r>
    </w:p>
    <w:p>
      <w:pPr>
        <w:pStyle w:val="ListBullet"/>
      </w:pPr>
      <w:r>
        <w:rPr>
          <w:rFonts w:ascii="Calibri" w:hAnsi="Calibri"/>
          <w:b w:val="0"/>
          <w:color w:val="2B2B2B"/>
          <w:sz w:val="22"/>
        </w:rPr>
        <w:t>*Aplicación a los registros de las organizaciones y contraste de H2.* El detector se ejecuta sobre los</w:t>
      </w:r>
    </w:p>
    <w:p>
      <w:r>
        <w:rPr>
          <w:rFonts w:ascii="Calibri" w:hAnsi="Calibri"/>
          <w:b w:val="0"/>
          <w:color w:val="2B2B2B"/>
          <w:sz w:val="22"/>
        </w:rPr>
        <w:t>registros anonimizados de **cada organización que los haya entregado —al menos dos, que es el mínimo</w:t>
      </w:r>
    </w:p>
    <w:p>
      <w:r>
        <w:rPr>
          <w:rFonts w:ascii="Calibri" w:hAnsi="Calibri"/>
          <w:b w:val="0"/>
          <w:color w:val="2B2B2B"/>
          <w:sz w:val="22"/>
        </w:rPr>
        <w:t>fijado en la actividad 14—** y sus hallazgos se comparan con lo que la organización</w:t>
      </w:r>
    </w:p>
    <w:p>
      <w:r>
        <w:rPr>
          <w:rFonts w:ascii="Calibri" w:hAnsi="Calibri"/>
          <w:b w:val="0"/>
          <w:color w:val="2B2B2B"/>
          <w:sz w:val="22"/>
        </w:rPr>
        <w:t xml:space="preserve">había declarado en el diagnóstico. Un hallazgo que la autoevaluación no contenía </w:t>
      </w:r>
      <w:r>
        <w:rPr>
          <w:rFonts w:ascii="Calibri" w:hAnsi="Calibri"/>
          <w:b/>
          <w:color w:val="2B2B2B"/>
          <w:sz w:val="22"/>
        </w:rPr>
        <w:t>sostiene H2</w:t>
      </w:r>
      <w:r>
        <w:rPr>
          <w:rFonts w:ascii="Calibri" w:hAnsi="Calibri"/>
          <w:b w:val="0"/>
          <w:color w:val="2B2B2B"/>
          <w:sz w:val="22"/>
        </w:rPr>
        <w:t>; la</w:t>
      </w:r>
    </w:p>
    <w:p>
      <w:r>
        <w:rPr>
          <w:rFonts w:ascii="Calibri" w:hAnsi="Calibri"/>
          <w:b w:val="0"/>
          <w:color w:val="2B2B2B"/>
          <w:sz w:val="22"/>
        </w:rPr>
        <w:t>ausencia de hallazgos en todas las organizaciones la refuta, y esa refutación es informativa y</w:t>
      </w:r>
    </w:p>
    <w:p>
      <w:r>
        <w:rPr>
          <w:rFonts w:ascii="Calibri" w:hAnsi="Calibri"/>
          <w:b w:val="0"/>
          <w:color w:val="2B2B2B"/>
          <w:sz w:val="22"/>
        </w:rPr>
        <w:t>económicamente relevante, porque significaría que a esta escala el diagnóstico declarativo basta.</w:t>
      </w:r>
    </w:p>
    <w:p>
      <w:r>
        <w:rPr>
          <w:rFonts w:ascii="Calibri" w:hAnsi="Calibri"/>
          <w:b w:val="0"/>
          <w:color w:val="2B2B2B"/>
          <w:sz w:val="22"/>
        </w:rPr>
        <w:t>Aquí se aplica una cautela que el marco impone: sobre registros reales anonimizados **no hay verdad de</w:t>
      </w:r>
    </w:p>
    <w:p>
      <w:r>
        <w:rPr>
          <w:rFonts w:ascii="Calibri" w:hAnsi="Calibri"/>
          <w:b w:val="0"/>
          <w:color w:val="2B2B2B"/>
          <w:sz w:val="22"/>
        </w:rPr>
        <w:t>referencia</w:t>
      </w:r>
      <w:r>
        <w:rPr>
          <w:rFonts w:ascii="Calibri" w:hAnsi="Calibri"/>
          <w:b/>
          <w:color w:val="2B2B2B"/>
          <w:sz w:val="22"/>
        </w:rPr>
        <w:t xml:space="preserve">, de modo que lo que el detector señala se reporta como </w:t>
      </w:r>
      <w:r>
        <w:rPr>
          <w:rFonts w:ascii="Calibri" w:hAnsi="Calibri"/>
          <w:b w:val="0"/>
          <w:color w:val="2B2B2B"/>
          <w:sz w:val="22"/>
        </w:rPr>
        <w:t>hallazgo a verificar con la</w:t>
      </w:r>
    </w:p>
    <w:p>
      <w:r>
        <w:rPr>
          <w:rFonts w:ascii="Calibri" w:hAnsi="Calibri"/>
          <w:b w:val="0"/>
          <w:color w:val="2B2B2B"/>
          <w:sz w:val="22"/>
        </w:rPr>
        <w:t>organización**, nunca como incidente confirmado, y ninguna métrica de desempeño se calcula sobre ellos.</w:t>
      </w:r>
    </w:p>
    <w:p>
      <w:r>
        <w:rPr>
          <w:rFonts w:ascii="Calibri" w:hAnsi="Calibri"/>
          <w:b w:val="0"/>
          <w:color w:val="2B2B2B"/>
          <w:sz w:val="22"/>
        </w:rPr>
        <w:t>La brecha semántica entre anomalía y ataque que señalan Sommer y Paxson [23] es precisamente esto.</w:t>
      </w:r>
    </w:p>
    <w:p>
      <w:pPr>
        <w:pStyle w:val="ListBullet"/>
      </w:pPr>
      <w:r>
        <w:rPr>
          <w:rFonts w:ascii="Calibri" w:hAnsi="Calibri"/>
          <w:b w:val="0"/>
          <w:color w:val="2B2B2B"/>
          <w:sz w:val="22"/>
        </w:rPr>
        <w:t>*Documentación.* Cuaderno reproducible con semillas fijadas, datos sintéticos de ejemplo, instrucciones</w:t>
      </w:r>
    </w:p>
    <w:p>
      <w:r>
        <w:rPr>
          <w:rFonts w:ascii="Calibri" w:hAnsi="Calibri"/>
          <w:b w:val="0"/>
          <w:color w:val="2B2B2B"/>
          <w:sz w:val="22"/>
        </w:rPr>
        <w:t>de ejecución sobre registros propios y reporte técnico con los resultados, **incluidos los</w:t>
      </w:r>
    </w:p>
    <w:p>
      <w:r>
        <w:rPr>
          <w:rFonts w:ascii="Calibri" w:hAnsi="Calibri"/>
          <w:b w:val="0"/>
          <w:color w:val="2B2B2B"/>
          <w:sz w:val="22"/>
        </w:rPr>
        <w:t>desfavorables**. Se entrega con la advertencia escrita de que un prototipo transferido no es un</w:t>
      </w:r>
    </w:p>
    <w:p>
      <w:r>
        <w:rPr>
          <w:rFonts w:ascii="Calibri" w:hAnsi="Calibri"/>
          <w:b w:val="0"/>
          <w:color w:val="2B2B2B"/>
          <w:sz w:val="22"/>
        </w:rPr>
        <w:t>producto soportado y que no hay compromiso de mantenimiento.</w:t>
      </w:r>
    </w:p>
    <w:p>
      <w:pPr>
        <w:pStyle w:val="ListBullet"/>
      </w:pPr>
      <w:r>
        <w:rPr>
          <w:rFonts w:ascii="Calibri" w:hAnsi="Calibri"/>
          <w:b w:val="0"/>
          <w:color w:val="2B2B2B"/>
          <w:sz w:val="22"/>
        </w:rPr>
        <w:t>*Criterio de logro.* Conjunto sintético con verdad de referencia por clases; ambos detectores</w:t>
      </w:r>
    </w:p>
    <w:p>
      <w:r>
        <w:rPr>
          <w:rFonts w:ascii="Calibri" w:hAnsi="Calibri"/>
          <w:b w:val="0"/>
          <w:color w:val="2B2B2B"/>
          <w:sz w:val="22"/>
        </w:rPr>
        <w:t>implementados y evaluados con I8; H4 y H5 contrastadas y reportadas con independencia del signo del</w:t>
      </w:r>
    </w:p>
    <w:p>
      <w:r>
        <w:rPr>
          <w:rFonts w:ascii="Calibri" w:hAnsi="Calibri"/>
          <w:b w:val="0"/>
          <w:color w:val="2B2B2B"/>
          <w:sz w:val="22"/>
        </w:rPr>
        <w:t>resultado; hallazgos por organización entregados como insumo del componente D7 del modelo; cuaderno</w:t>
      </w:r>
    </w:p>
    <w:p>
      <w:r>
        <w:rPr>
          <w:rFonts w:ascii="Calibri" w:hAnsi="Calibri"/>
          <w:b w:val="0"/>
          <w:color w:val="2B2B2B"/>
          <w:sz w:val="22"/>
        </w:rPr>
        <w:t>reproducible documentado.</w:t>
      </w:r>
    </w:p>
    <w:p>
      <w:pPr>
        <w:spacing w:before="200" w:after="60"/>
      </w:pPr>
      <w:r>
        <w:rPr>
          <w:rFonts w:ascii="Calibri" w:hAnsi="Calibri"/>
          <w:b/>
          <w:color w:val="007433"/>
          <w:sz w:val="32"/>
        </w:rPr>
        <w:t>Salvaguardas metodológicas</w:t>
      </w:r>
    </w:p>
    <w:p>
      <w:r>
        <w:rPr>
          <w:rFonts w:ascii="Calibri" w:hAnsi="Calibri"/>
          <w:b w:val="0"/>
          <w:color w:val="2B2B2B"/>
          <w:sz w:val="22"/>
        </w:rPr>
        <w:t xml:space="preserve">Cinco, y ninguna es retórica. </w:t>
      </w:r>
      <w:r>
        <w:rPr>
          <w:rFonts w:ascii="Calibri" w:hAnsi="Calibri"/>
          <w:b/>
          <w:color w:val="2B2B2B"/>
          <w:sz w:val="22"/>
        </w:rPr>
        <w:t>Primera, congelamiento previo de instrumentos y umbrales:</w:t>
      </w:r>
      <w:r>
        <w:rPr>
          <w:rFonts w:ascii="Calibri" w:hAnsi="Calibri"/>
          <w:b w:val="0"/>
          <w:color w:val="2B2B2B"/>
          <w:sz w:val="22"/>
        </w:rPr>
        <w:t xml:space="preserve"> I2, I5 e I8,</w:t>
      </w:r>
    </w:p>
    <w:p>
      <w:r>
        <w:rPr>
          <w:rFonts w:ascii="Calibri" w:hAnsi="Calibri"/>
          <w:b w:val="0"/>
          <w:color w:val="2B2B2B"/>
          <w:sz w:val="22"/>
        </w:rPr>
        <w:t>el 0,70 de alfa, el 70 % de H3 y los dos umbrales de H4 quedan fijados y fechados antes de recoger el</w:t>
      </w:r>
    </w:p>
    <w:p>
      <w:r>
        <w:rPr>
          <w:rFonts w:ascii="Calibri" w:hAnsi="Calibri"/>
          <w:b w:val="0"/>
          <w:color w:val="2B2B2B"/>
          <w:sz w:val="22"/>
        </w:rPr>
        <w:t>primer dato, lo que impide elegir el criterio después de ver el resultado. **Segunda, segundo</w:t>
      </w:r>
    </w:p>
    <w:p>
      <w:r>
        <w:rPr>
          <w:rFonts w:ascii="Calibri" w:hAnsi="Calibri"/>
          <w:b w:val="0"/>
          <w:color w:val="2B2B2B"/>
          <w:sz w:val="22"/>
        </w:rPr>
        <w:t>calificador independiente:** no es apoyo accesorio; un diagnóstico calificado por una sola persona</w:t>
      </w:r>
    </w:p>
    <w:p>
      <w:r>
        <w:rPr>
          <w:rFonts w:ascii="Calibri" w:hAnsi="Calibri"/>
          <w:b w:val="0"/>
          <w:color w:val="2B2B2B"/>
          <w:sz w:val="22"/>
        </w:rPr>
        <w:t xml:space="preserve">describe al diagnosticador. </w:t>
      </w:r>
      <w:r>
        <w:rPr>
          <w:rFonts w:ascii="Calibri" w:hAnsi="Calibri"/>
          <w:b/>
          <w:color w:val="2B2B2B"/>
          <w:sz w:val="22"/>
        </w:rPr>
        <w:t>Tercera, verdad de referencia por construcción</w:t>
      </w:r>
      <w:r>
        <w:rPr>
          <w:rFonts w:ascii="Calibri" w:hAnsi="Calibri"/>
          <w:b w:val="0"/>
          <w:color w:val="2B2B2B"/>
          <w:sz w:val="22"/>
        </w:rPr>
        <w:t xml:space="preserve"> en toda métrica de</w:t>
      </w:r>
    </w:p>
    <w:p>
      <w:r>
        <w:rPr>
          <w:rFonts w:ascii="Calibri" w:hAnsi="Calibri"/>
          <w:b w:val="0"/>
          <w:color w:val="2B2B2B"/>
          <w:sz w:val="22"/>
        </w:rPr>
        <w:t>desempeño del detector, y prohibición explícita de calcular métricas sobre registros reales sin</w:t>
      </w:r>
    </w:p>
    <w:p>
      <w:r>
        <w:rPr>
          <w:rFonts w:ascii="Calibri" w:hAnsi="Calibri"/>
          <w:b w:val="0"/>
          <w:color w:val="2B2B2B"/>
          <w:sz w:val="22"/>
        </w:rPr>
        <w:t xml:space="preserve">etiquetas. </w:t>
      </w:r>
      <w:r>
        <w:rPr>
          <w:rFonts w:ascii="Calibri" w:hAnsi="Calibri"/>
          <w:b/>
          <w:color w:val="2B2B2B"/>
          <w:sz w:val="22"/>
        </w:rPr>
        <w:t>Cuarta, publicación de datos crudos anonimizados:</w:t>
      </w:r>
      <w:r>
        <w:rPr>
          <w:rFonts w:ascii="Calibri" w:hAnsi="Calibri"/>
          <w:b w:val="0"/>
          <w:color w:val="2B2B2B"/>
          <w:sz w:val="22"/>
        </w:rPr>
        <w:t xml:space="preserve"> calificaciones por ítem y dimensión,</w:t>
      </w:r>
    </w:p>
    <w:p>
      <w:r>
        <w:rPr>
          <w:rFonts w:ascii="Calibri" w:hAnsi="Calibri"/>
          <w:b w:val="0"/>
          <w:color w:val="2B2B2B"/>
          <w:sz w:val="22"/>
        </w:rPr>
        <w:t>desacuerdos entre calificadores y salidas del detector se anexan al informe para que un tercero pueda</w:t>
      </w:r>
    </w:p>
    <w:p>
      <w:r>
        <w:rPr>
          <w:rFonts w:ascii="Calibri" w:hAnsi="Calibri"/>
          <w:b w:val="0"/>
          <w:color w:val="2B2B2B"/>
          <w:sz w:val="22"/>
        </w:rPr>
        <w:t xml:space="preserve">recalcular. </w:t>
      </w:r>
      <w:r>
        <w:rPr>
          <w:rFonts w:ascii="Calibri" w:hAnsi="Calibri"/>
          <w:b/>
          <w:color w:val="2B2B2B"/>
          <w:sz w:val="22"/>
        </w:rPr>
        <w:t>Quinta, reporte simétrico:</w:t>
      </w:r>
      <w:r>
        <w:rPr>
          <w:rFonts w:ascii="Calibri" w:hAnsi="Calibri"/>
          <w:b w:val="0"/>
          <w:color w:val="2B2B2B"/>
          <w:sz w:val="22"/>
        </w:rPr>
        <w:t xml:space="preserve"> los resultados que refutan H1 a H5 se reportan con el mismo</w:t>
      </w:r>
    </w:p>
    <w:p>
      <w:r>
        <w:rPr>
          <w:rFonts w:ascii="Calibri" w:hAnsi="Calibri"/>
          <w:b w:val="0"/>
          <w:color w:val="2B2B2B"/>
          <w:sz w:val="22"/>
        </w:rPr>
        <w:t>detalle que los que las sostienen, y las condiciones de refutación ya están escritas por adelantado.</w:t>
      </w:r>
    </w:p>
    <w:p>
      <w:pPr>
        <w:spacing w:before="200" w:after="60"/>
      </w:pPr>
      <w:r>
        <w:rPr>
          <w:rFonts w:ascii="Calibri" w:hAnsi="Calibri"/>
          <w:b/>
          <w:color w:val="007433"/>
          <w:sz w:val="32"/>
        </w:rPr>
        <w:t>Limitaciones declaradas</w:t>
      </w:r>
    </w:p>
    <w:p>
      <w:r>
        <w:rPr>
          <w:rFonts w:ascii="Calibri" w:hAnsi="Calibri"/>
          <w:b/>
          <w:color w:val="2B2B2B"/>
          <w:sz w:val="22"/>
        </w:rPr>
        <w:t>Primera — n de organizaciones muy pequeño.</w:t>
      </w:r>
      <w:r>
        <w:rPr>
          <w:rFonts w:ascii="Calibri" w:hAnsi="Calibri"/>
          <w:b w:val="0"/>
          <w:color w:val="2B2B2B"/>
          <w:sz w:val="22"/>
        </w:rPr>
        <w:t xml:space="preserve"> Con tres a cinco casos seleccionados por criterio y</w:t>
      </w:r>
    </w:p>
    <w:p>
      <w:r>
        <w:rPr>
          <w:rFonts w:ascii="Calibri" w:hAnsi="Calibri"/>
          <w:b w:val="0"/>
          <w:color w:val="2B2B2B"/>
          <w:sz w:val="22"/>
        </w:rPr>
        <w:t>disponibilidad, los perfiles de madurez describen a esas organizaciones y no al sector; H1, H2 y H3 se</w:t>
      </w:r>
    </w:p>
    <w:p>
      <w:r>
        <w:rPr>
          <w:rFonts w:ascii="Calibri" w:hAnsi="Calibri"/>
          <w:b w:val="0"/>
          <w:color w:val="2B2B2B"/>
          <w:sz w:val="22"/>
        </w:rPr>
        <w:t>contrastan de forma descriptiva y sin pruebas de significación. El valor externo del estudio está en el</w:t>
      </w:r>
    </w:p>
    <w:p>
      <w:r>
        <w:rPr>
          <w:rFonts w:ascii="Calibri" w:hAnsi="Calibri"/>
          <w:b w:val="0"/>
          <w:color w:val="2B2B2B"/>
          <w:sz w:val="22"/>
        </w:rPr>
        <w:t>instrumento y en el modelo.</w:t>
      </w:r>
    </w:p>
    <w:p>
      <w:r>
        <w:rPr>
          <w:rFonts w:ascii="Calibri" w:hAnsi="Calibri"/>
          <w:b/>
          <w:color w:val="2B2B2B"/>
          <w:sz w:val="22"/>
        </w:rPr>
        <w:t>Segunda — validez de contenido depurada, no establecida.</w:t>
      </w:r>
      <w:r>
        <w:rPr>
          <w:rFonts w:ascii="Calibri" w:hAnsi="Calibri"/>
          <w:b w:val="0"/>
          <w:color w:val="2B2B2B"/>
          <w:sz w:val="22"/>
        </w:rPr>
        <w:t xml:space="preserve"> Tres expertos son suficientes para eliminar</w:t>
      </w:r>
    </w:p>
    <w:p>
      <w:r>
        <w:rPr>
          <w:rFonts w:ascii="Calibri" w:hAnsi="Calibri"/>
          <w:b w:val="0"/>
          <w:color w:val="2B2B2B"/>
          <w:sz w:val="22"/>
        </w:rPr>
        <w:t>ítems mal formulados e insuficientes para estabilizar el índice de Lawshe [18]. El instrumento se entrega</w:t>
      </w:r>
    </w:p>
    <w:p>
      <w:r>
        <w:rPr>
          <w:rFonts w:ascii="Calibri" w:hAnsi="Calibri"/>
          <w:b w:val="0"/>
          <w:color w:val="2B2B2B"/>
          <w:sz w:val="22"/>
        </w:rPr>
        <w:t xml:space="preserve">como </w:t>
      </w:r>
      <w:r>
        <w:rPr>
          <w:rFonts w:ascii="Calibri" w:hAnsi="Calibri"/>
          <w:b/>
          <w:color w:val="2B2B2B"/>
          <w:sz w:val="22"/>
        </w:rPr>
        <w:t>instrumento depurado con evidencia parcial de validez de contenido</w:t>
      </w:r>
      <w:r>
        <w:rPr>
          <w:rFonts w:ascii="Calibri" w:hAnsi="Calibri"/>
          <w:b w:val="0"/>
          <w:color w:val="2B2B2B"/>
          <w:sz w:val="22"/>
        </w:rPr>
        <w:t>, y esa formulación se</w:t>
      </w:r>
    </w:p>
    <w:p>
      <w:r>
        <w:rPr>
          <w:rFonts w:ascii="Calibri" w:hAnsi="Calibri"/>
          <w:b w:val="0"/>
          <w:color w:val="2B2B2B"/>
          <w:sz w:val="22"/>
        </w:rPr>
        <w:t>mantiene en todos los productos.</w:t>
      </w:r>
    </w:p>
    <w:p>
      <w:r>
        <w:rPr>
          <w:rFonts w:ascii="Calibri" w:hAnsi="Calibri"/>
          <w:b/>
          <w:color w:val="2B2B2B"/>
          <w:sz w:val="22"/>
        </w:rPr>
        <w:t>Tercera — el diagnóstico sigue dependiendo de lo que la organización exhibe.</w:t>
      </w:r>
      <w:r>
        <w:rPr>
          <w:rFonts w:ascii="Calibri" w:hAnsi="Calibri"/>
          <w:b w:val="0"/>
          <w:color w:val="2B2B2B"/>
          <w:sz w:val="22"/>
        </w:rPr>
        <w:t xml:space="preserve"> La verificación</w:t>
      </w:r>
    </w:p>
    <w:p>
      <w:r>
        <w:rPr>
          <w:rFonts w:ascii="Calibri" w:hAnsi="Calibri"/>
          <w:b w:val="0"/>
          <w:color w:val="2B2B2B"/>
          <w:sz w:val="22"/>
        </w:rPr>
        <w:t>documental en sitio mitiga el sesgo de deseabilidad pero no lo elimina: la organización decide qué</w:t>
      </w:r>
    </w:p>
    <w:p>
      <w:r>
        <w:rPr>
          <w:rFonts w:ascii="Calibri" w:hAnsi="Calibri"/>
          <w:b w:val="0"/>
          <w:color w:val="2B2B2B"/>
          <w:sz w:val="22"/>
        </w:rPr>
        <w:t>evidencia muestra. El componente de registros compensa parcialmente ese punto ciego, y solo</w:t>
      </w:r>
    </w:p>
    <w:p>
      <w:r>
        <w:rPr>
          <w:rFonts w:ascii="Calibri" w:hAnsi="Calibri"/>
          <w:b w:val="0"/>
          <w:color w:val="2B2B2B"/>
          <w:sz w:val="22"/>
        </w:rPr>
        <w:t>parcialmente, porque también los registros los entrega la organización.</w:t>
      </w:r>
    </w:p>
    <w:p>
      <w:r>
        <w:rPr>
          <w:rFonts w:ascii="Calibri" w:hAnsi="Calibri"/>
          <w:b/>
          <w:color w:val="2B2B2B"/>
          <w:sz w:val="22"/>
        </w:rPr>
        <w:t>Cuarta — sin verdad de referencia en los registros reales.</w:t>
      </w:r>
      <w:r>
        <w:rPr>
          <w:rFonts w:ascii="Calibri" w:hAnsi="Calibri"/>
          <w:b w:val="0"/>
          <w:color w:val="2B2B2B"/>
          <w:sz w:val="22"/>
        </w:rPr>
        <w:t xml:space="preserve"> Todas las métricas de desempeño del</w:t>
      </w:r>
    </w:p>
    <w:p>
      <w:r>
        <w:rPr>
          <w:rFonts w:ascii="Calibri" w:hAnsi="Calibri"/>
          <w:b w:val="0"/>
          <w:color w:val="2B2B2B"/>
          <w:sz w:val="22"/>
        </w:rPr>
        <w:t>detector provienen de datos sintéticos con anomalías inyectadas. Que el detector recupere anomalías</w:t>
      </w:r>
    </w:p>
    <w:p>
      <w:r>
        <w:rPr>
          <w:rFonts w:ascii="Calibri" w:hAnsi="Calibri"/>
          <w:b w:val="0"/>
          <w:color w:val="2B2B2B"/>
          <w:sz w:val="22"/>
        </w:rPr>
        <w:t>construidas no demuestra que recupere ataques reales; lo que se afirma es exactamente lo que se mide, y</w:t>
      </w:r>
    </w:p>
    <w:p>
      <w:r>
        <w:rPr>
          <w:rFonts w:ascii="Calibri" w:hAnsi="Calibri"/>
          <w:b w:val="0"/>
          <w:color w:val="2B2B2B"/>
          <w:sz w:val="22"/>
        </w:rPr>
        <w:t>la generalización a operación real queda fuera de lo comprometido.</w:t>
      </w:r>
    </w:p>
    <w:p>
      <w:r>
        <w:rPr>
          <w:rFonts w:ascii="Calibri" w:hAnsi="Calibri"/>
          <w:b/>
          <w:color w:val="2B2B2B"/>
          <w:sz w:val="22"/>
        </w:rPr>
        <w:t>Quinta — el componente añadido por el prototipo no pasa por el juicio de aplicabilidad de H3.</w:t>
      </w:r>
      <w:r>
        <w:rPr>
          <w:rFonts w:ascii="Calibri" w:hAnsi="Calibri"/>
          <w:b w:val="0"/>
          <w:color w:val="2B2B2B"/>
          <w:sz w:val="22"/>
        </w:rPr>
        <w:t xml:space="preserve"> Las</w:t>
      </w:r>
    </w:p>
    <w:p>
      <w:r>
        <w:rPr>
          <w:rFonts w:ascii="Calibri" w:hAnsi="Calibri"/>
          <w:b w:val="0"/>
          <w:color w:val="2B2B2B"/>
          <w:sz w:val="22"/>
        </w:rPr>
        <w:t>recomendaciones que los hallazgos del prototipo agregan al componente D7 del modelo se incorporan en la</w:t>
      </w:r>
    </w:p>
    <w:p>
      <w:r>
        <w:rPr>
          <w:rFonts w:ascii="Calibri" w:hAnsi="Calibri"/>
          <w:b w:val="0"/>
          <w:color w:val="2B2B2B"/>
          <w:sz w:val="22"/>
        </w:rPr>
        <w:t>versión final (actividad 12) después de la sesión de validación (actividad 11). Se declara por</w:t>
      </w:r>
    </w:p>
    <w:p>
      <w:r>
        <w:rPr>
          <w:rFonts w:ascii="Calibri" w:hAnsi="Calibri"/>
          <w:b w:val="0"/>
          <w:color w:val="2B2B2B"/>
          <w:sz w:val="22"/>
        </w:rPr>
        <w:t>adelantado: **esas recomendaciones se marcan en el modelo como no sometidas a la calificación de</w:t>
      </w:r>
    </w:p>
    <w:p>
      <w:r>
        <w:rPr>
          <w:rFonts w:ascii="Calibri" w:hAnsi="Calibri"/>
          <w:b w:val="0"/>
          <w:color w:val="2B2B2B"/>
          <w:sz w:val="22"/>
        </w:rPr>
        <w:t>aplicabilidad**, no se cuentan en el denominador de H3 y quedan propuestas para validación en una</w:t>
      </w:r>
    </w:p>
    <w:p>
      <w:r>
        <w:rPr>
          <w:rFonts w:ascii="Calibri" w:hAnsi="Calibri"/>
          <w:b w:val="0"/>
          <w:color w:val="2B2B2B"/>
          <w:sz w:val="22"/>
        </w:rPr>
        <w:t>continuación. Ocultarlo inflaría artificialmente el porcentaje de H3.</w:t>
      </w:r>
    </w:p>
    <w:p>
      <w:r>
        <w:rPr>
          <w:rFonts w:ascii="Calibri" w:hAnsi="Calibri"/>
          <w:b/>
          <w:color w:val="2B2B2B"/>
          <w:sz w:val="22"/>
        </w:rPr>
        <w:t>Sexta — el riesgo dominante no es metodológico sino de acceso.</w:t>
      </w:r>
      <w:r>
        <w:rPr>
          <w:rFonts w:ascii="Calibri" w:hAnsi="Calibri"/>
          <w:b w:val="0"/>
          <w:color w:val="2B2B2B"/>
          <w:sz w:val="22"/>
        </w:rPr>
        <w:t xml:space="preserve"> Todo el diseño depende de que al</w:t>
      </w:r>
    </w:p>
    <w:p>
      <w:r>
        <w:rPr>
          <w:rFonts w:ascii="Calibri" w:hAnsi="Calibri"/>
          <w:b w:val="0"/>
          <w:color w:val="2B2B2B"/>
          <w:sz w:val="22"/>
        </w:rPr>
        <w:t>menos tres organizaciones firmen el Anexo 3 y dediquen tiempo de su personal, y eso no está bajo control</w:t>
      </w:r>
    </w:p>
    <w:p>
      <w:r>
        <w:rPr>
          <w:rFonts w:ascii="Calibri" w:hAnsi="Calibri"/>
          <w:b w:val="0"/>
          <w:color w:val="2B2B2B"/>
          <w:sz w:val="22"/>
        </w:rPr>
        <w:t>del investigador (pendientes 5 y 6). Está declarado con su umbral mínimo y su consecuencia: por debajo de</w:t>
      </w:r>
    </w:p>
    <w:p>
      <w:r>
        <w:rPr>
          <w:rFonts w:ascii="Calibri" w:hAnsi="Calibri"/>
          <w:b w:val="0"/>
          <w:color w:val="2B2B2B"/>
          <w:sz w:val="22"/>
        </w:rPr>
        <w:t>tres, el estudio se reformula ante la DNI.</w:t>
      </w:r>
    </w:p>
    <w:p>
      <w:pPr>
        <w:spacing w:before="200" w:after="60"/>
      </w:pPr>
      <w:r>
        <w:rPr>
          <w:rFonts w:ascii="Calibri" w:hAnsi="Calibri"/>
          <w:b/>
          <w:color w:val="007433"/>
          <w:sz w:val="32"/>
        </w:rPr>
        <w:t>Resultados y productos de la propuesta</w:t>
      </w:r>
    </w:p>
    <w:p>
      <w:r>
        <w:rPr>
          <w:rFonts w:ascii="Calibri" w:hAnsi="Calibri"/>
          <w:b w:val="0"/>
          <w:color w:val="2B2B2B"/>
          <w:sz w:val="22"/>
        </w:rPr>
        <w:t xml:space="preserve">Cada producto se atribuye </w:t>
      </w:r>
      <w:r>
        <w:rPr>
          <w:rFonts w:ascii="Calibri" w:hAnsi="Calibri"/>
          <w:b/>
          <w:color w:val="2B2B2B"/>
          <w:sz w:val="22"/>
        </w:rPr>
        <w:t>al objetivo cuyas actividades lo producen de verdad</w:t>
      </w:r>
      <w:r>
        <w:rPr>
          <w:rFonts w:ascii="Calibri" w:hAnsi="Calibri"/>
          <w:b w:val="0"/>
          <w:color w:val="2B2B2B"/>
          <w:sz w:val="22"/>
        </w:rPr>
        <w:t>, con el número de</w:t>
      </w:r>
    </w:p>
    <w:p>
      <w:r>
        <w:rPr>
          <w:rFonts w:ascii="Calibri" w:hAnsi="Calibri"/>
          <w:b w:val="0"/>
          <w:color w:val="2B2B2B"/>
          <w:sz w:val="22"/>
        </w:rPr>
        <w:t xml:space="preserve">actividad entre paréntesis; cuando lo producen actividades de dos objetivos se declara </w:t>
      </w:r>
      <w:r>
        <w:rPr>
          <w:rFonts w:ascii="Calibri" w:hAnsi="Calibri"/>
          <w:b/>
          <w:color w:val="2B2B2B"/>
          <w:sz w:val="22"/>
        </w:rPr>
        <w:t>transversal</w:t>
      </w:r>
      <w:r>
        <w:rPr>
          <w:rFonts w:ascii="Calibri" w:hAnsi="Calibri"/>
          <w:b w:val="0"/>
          <w:color w:val="2B2B2B"/>
          <w:sz w:val="22"/>
        </w:rPr>
        <w:t xml:space="preserve"> y</w:t>
      </w:r>
    </w:p>
    <w:p>
      <w:r>
        <w:rPr>
          <w:rFonts w:ascii="Calibri" w:hAnsi="Calibri"/>
          <w:b w:val="0"/>
          <w:color w:val="2B2B2B"/>
          <w:sz w:val="22"/>
        </w:rPr>
        <w:t>se dice de cuáles. Las fechas de entrega se expresan en semanas relativas, por las razones del pendiente 4.</w:t>
      </w:r>
    </w:p>
    <w:p>
      <w:pPr>
        <w:spacing w:before="200" w:after="60"/>
      </w:pPr>
      <w:r>
        <w:rPr>
          <w:rFonts w:ascii="Calibri" w:hAnsi="Calibri"/>
          <w:b/>
          <w:color w:val="007433"/>
          <w:sz w:val="32"/>
        </w:rPr>
        <w:t>I. Generación de nuevo conocimiento</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Producto esperado</w:t>
            </w:r>
          </w:p>
        </w:tc>
        <w:tc>
          <w:tcPr>
            <w:tcW w:type="dxa" w:w="2448"/>
            <w:shd w:val="clear" w:fill="0C2340"/>
            <w:shd w:val="clear" w:fill="0C2340"/>
          </w:tcPr>
          <w:p>
            <w:r>
              <w:rPr>
                <w:rFonts w:ascii="Calibri" w:hAnsi="Calibri"/>
                <w:b/>
                <w:color w:val="FFFFFF"/>
              </w:rPr>
            </w:r>
            <w:r>
              <w:rPr>
                <w:rFonts w:ascii="Calibri" w:hAnsi="Calibri"/>
                <w:b/>
                <w:color w:val="FFFFFF"/>
                <w:sz w:val="21"/>
              </w:rPr>
              <w:t>Objetivo</w:t>
            </w:r>
          </w:p>
        </w:tc>
        <w:tc>
          <w:tcPr>
            <w:tcW w:type="dxa" w:w="2448"/>
            <w:shd w:val="clear" w:fill="0C2340"/>
            <w:shd w:val="clear" w:fill="0C2340"/>
          </w:tcPr>
          <w:p>
            <w:r>
              <w:rPr>
                <w:rFonts w:ascii="Calibri" w:hAnsi="Calibri"/>
                <w:b/>
                <w:color w:val="FFFFFF"/>
              </w:rPr>
            </w:r>
            <w:r>
              <w:rPr>
                <w:rFonts w:ascii="Calibri" w:hAnsi="Calibri"/>
                <w:b/>
                <w:color w:val="FFFFFF"/>
                <w:sz w:val="21"/>
              </w:rPr>
              <w:t>Indicador de verificación</w:t>
            </w:r>
          </w:p>
        </w:tc>
        <w:tc>
          <w:tcPr>
            <w:tcW w:type="dxa" w:w="2448"/>
            <w:shd w:val="clear" w:fill="0C2340"/>
            <w:shd w:val="clear" w:fill="0C2340"/>
          </w:tcPr>
          <w:p>
            <w:r>
              <w:rPr>
                <w:rFonts w:ascii="Calibri" w:hAnsi="Calibri"/>
                <w:b/>
                <w:color w:val="FFFFFF"/>
              </w:rPr>
            </w:r>
            <w:r>
              <w:rPr>
                <w:rFonts w:ascii="Calibri" w:hAnsi="Calibri"/>
                <w:b/>
                <w:color w:val="FFFFFF"/>
                <w:sz w:val="21"/>
              </w:rPr>
              <w:t>Entrega</w:t>
            </w:r>
          </w:p>
        </w:tc>
      </w:tr>
      <w:tr>
        <w:tc>
          <w:tcPr>
            <w:tcW w:type="dxa" w:w="2448"/>
          </w:tcPr>
          <w:p>
            <w:r/>
            <w:r>
              <w:rPr>
                <w:rFonts w:ascii="Calibri" w:hAnsi="Calibri"/>
                <w:b/>
                <w:color w:val="2B2B2B"/>
                <w:sz w:val="20"/>
              </w:rPr>
              <w:t>Instrumento IDM-Pyme depurado, con su matriz de correspondencia I1 y su guía de aplicación</w:t>
            </w:r>
            <w:r>
              <w:rPr>
                <w:rFonts w:ascii="Calibri" w:hAnsi="Calibri"/>
                <w:b w:val="0"/>
                <w:color w:val="2B2B2B"/>
                <w:sz w:val="20"/>
              </w:rPr>
              <w:t xml:space="preserve"> — ocho dimensiones, ítems verificables y anclas ordinales, con evidencia parcial de validez de contenido y con fiabilidad entre calificadores estimada</w:t>
            </w:r>
          </w:p>
        </w:tc>
        <w:tc>
          <w:tcPr>
            <w:tcW w:type="dxa" w:w="2448"/>
          </w:tcPr>
          <w:p>
            <w:r/>
            <w:r>
              <w:rPr>
                <w:rFonts w:ascii="Calibri" w:hAnsi="Calibri"/>
                <w:b/>
                <w:color w:val="2B2B2B"/>
                <w:sz w:val="20"/>
              </w:rPr>
              <w:t>OE1</w:t>
            </w:r>
            <w:r>
              <w:rPr>
                <w:rFonts w:ascii="Calibri" w:hAnsi="Calibri"/>
                <w:b w:val="0"/>
                <w:color w:val="2B2B2B"/>
                <w:sz w:val="20"/>
              </w:rPr>
              <w:t xml:space="preserve"> (actividades 2, 3, 4, 5, 7)</w:t>
            </w:r>
          </w:p>
        </w:tc>
        <w:tc>
          <w:tcPr>
            <w:tcW w:type="dxa" w:w="2448"/>
          </w:tcPr>
          <w:p>
            <w:r/>
            <w:r>
              <w:rPr>
                <w:rFonts w:ascii="Calibri" w:hAnsi="Calibri"/>
                <w:b w:val="0"/>
                <w:color w:val="2B2B2B"/>
                <w:sz w:val="20"/>
              </w:rPr>
              <w:t xml:space="preserve">Instrumento en versión congelada y fechada; matriz I1 con una fila por ítem; índice de esencialidad reportado por ítem para los tres expertos; </w:t>
            </w:r>
            <w:r>
              <w:rPr>
                <w:rFonts w:ascii="Calibri" w:hAnsi="Calibri"/>
                <w:b/>
                <w:color w:val="2B2B2B"/>
                <w:sz w:val="20"/>
              </w:rPr>
              <w:t>alfa de Krippendorff reportado con el umbral 0,70 y su consecuencia aplicada</w:t>
            </w:r>
          </w:p>
        </w:tc>
        <w:tc>
          <w:tcPr>
            <w:tcW w:type="dxa" w:w="2448"/>
          </w:tcPr>
          <w:p>
            <w:r/>
            <w:r>
              <w:rPr>
                <w:rFonts w:ascii="Calibri" w:hAnsi="Calibri"/>
                <w:b w:val="0"/>
                <w:color w:val="2B2B2B"/>
                <w:sz w:val="20"/>
              </w:rPr>
              <w:t>S6</w:t>
            </w:r>
          </w:p>
        </w:tc>
      </w:tr>
      <w:tr>
        <w:tc>
          <w:tcPr>
            <w:tcW w:type="dxa" w:w="2448"/>
            <w:shd w:val="clear" w:fill="F5F7F5"/>
            <w:shd w:val="clear" w:fill="F5F7F5"/>
          </w:tcPr>
          <w:p>
            <w:r/>
            <w:r>
              <w:rPr>
                <w:rFonts w:ascii="Calibri" w:hAnsi="Calibri"/>
                <w:b/>
                <w:color w:val="2B2B2B"/>
                <w:sz w:val="20"/>
              </w:rPr>
              <w:t>Informe de diagnóstico de línea base</w:t>
            </w:r>
            <w:r>
              <w:rPr>
                <w:rFonts w:ascii="Calibri" w:hAnsi="Calibri"/>
                <w:b w:val="0"/>
                <w:color w:val="2B2B2B"/>
                <w:sz w:val="20"/>
              </w:rPr>
              <w:t xml:space="preserve"> — perfiles ordinales por dimensión y organización, brechas comunes y específicas, razones codificadas de las brechas y contraste descriptivo de H1, con anexo de calificaciones crudas anonimizadas y de desacuerdos entre calificadores</w:t>
            </w:r>
          </w:p>
        </w:tc>
        <w:tc>
          <w:tcPr>
            <w:tcW w:type="dxa" w:w="2448"/>
            <w:shd w:val="clear" w:fill="F5F7F5"/>
            <w:shd w:val="clear" w:fill="F5F7F5"/>
          </w:tcPr>
          <w:p>
            <w:r/>
            <w:r>
              <w:rPr>
                <w:rFonts w:ascii="Calibri" w:hAnsi="Calibri"/>
                <w:b/>
                <w:color w:val="2B2B2B"/>
                <w:sz w:val="20"/>
              </w:rPr>
              <w:t>Transversal a OE1 y OE2</w:t>
            </w:r>
            <w:r>
              <w:rPr>
                <w:rFonts w:ascii="Calibri" w:hAnsi="Calibri"/>
                <w:b w:val="0"/>
                <w:color w:val="2B2B2B"/>
                <w:sz w:val="20"/>
              </w:rPr>
              <w:t xml:space="preserve"> — el dato lo producen las actividades 6 y 7 (OE1) y el análisis y las razones las actividades 8 y 9 (OE2); atribuirlo a uno solo sería inexacto</w:t>
            </w:r>
          </w:p>
        </w:tc>
        <w:tc>
          <w:tcPr>
            <w:tcW w:type="dxa" w:w="2448"/>
            <w:shd w:val="clear" w:fill="F5F7F5"/>
            <w:shd w:val="clear" w:fill="F5F7F5"/>
          </w:tcPr>
          <w:p>
            <w:r/>
            <w:r>
              <w:rPr>
                <w:rFonts w:ascii="Calibri" w:hAnsi="Calibri"/>
                <w:b w:val="0"/>
                <w:color w:val="2B2B2B"/>
                <w:sz w:val="20"/>
              </w:rPr>
              <w:t>Informe entregado con perfiles de las 3 a 5 organizaciones, anexo de datos crudos recalculable por un tercero, y declaración expresa de si el diagnóstico es establecido o exploratorio según el alfa obtenido</w:t>
            </w:r>
          </w:p>
        </w:tc>
        <w:tc>
          <w:tcPr>
            <w:tcW w:type="dxa" w:w="2448"/>
            <w:shd w:val="clear" w:fill="F5F7F5"/>
            <w:shd w:val="clear" w:fill="F5F7F5"/>
          </w:tcPr>
          <w:p>
            <w:r/>
            <w:r>
              <w:rPr>
                <w:rFonts w:ascii="Calibri" w:hAnsi="Calibri"/>
                <w:b w:val="0"/>
                <w:color w:val="2B2B2B"/>
                <w:sz w:val="20"/>
              </w:rPr>
              <w:t>S7</w:t>
            </w:r>
          </w:p>
        </w:tc>
      </w:tr>
      <w:tr>
        <w:tc>
          <w:tcPr>
            <w:tcW w:type="dxa" w:w="2448"/>
          </w:tcPr>
          <w:p>
            <w:r/>
            <w:r>
              <w:rPr>
                <w:rFonts w:ascii="Calibri" w:hAnsi="Calibri"/>
                <w:b/>
                <w:color w:val="2B2B2B"/>
                <w:sz w:val="20"/>
              </w:rPr>
              <w:t>Reporte técnico de evaluación del detector de anomalías</w:t>
            </w:r>
            <w:r>
              <w:rPr>
                <w:rFonts w:ascii="Calibri" w:hAnsi="Calibri"/>
                <w:b w:val="0"/>
                <w:color w:val="2B2B2B"/>
                <w:sz w:val="20"/>
              </w:rPr>
              <w:t xml:space="preserve"> — recuperación, precisión y proporción de falsas alarmas por clase de anomalía, contraste con el detector estadístico de referencia y veredicto explícito sobre H4 y H5, incluidos los resultados desfavorables</w:t>
            </w:r>
          </w:p>
        </w:tc>
        <w:tc>
          <w:tcPr>
            <w:tcW w:type="dxa" w:w="2448"/>
          </w:tcPr>
          <w:p>
            <w:r/>
            <w:r>
              <w:rPr>
                <w:rFonts w:ascii="Calibri" w:hAnsi="Calibri"/>
                <w:b/>
                <w:color w:val="2B2B2B"/>
                <w:sz w:val="20"/>
              </w:rPr>
              <w:t>OE3</w:t>
            </w:r>
            <w:r>
              <w:rPr>
                <w:rFonts w:ascii="Calibri" w:hAnsi="Calibri"/>
                <w:b w:val="0"/>
                <w:color w:val="2B2B2B"/>
                <w:sz w:val="20"/>
              </w:rPr>
              <w:t xml:space="preserve"> (actividades 15, 16, 17, 19)</w:t>
            </w:r>
          </w:p>
        </w:tc>
        <w:tc>
          <w:tcPr>
            <w:tcW w:type="dxa" w:w="2448"/>
          </w:tcPr>
          <w:p>
            <w:r/>
            <w:r>
              <w:rPr>
                <w:rFonts w:ascii="Calibri" w:hAnsi="Calibri"/>
                <w:b w:val="0"/>
                <w:color w:val="2B2B2B"/>
                <w:sz w:val="20"/>
              </w:rPr>
              <w:t>Reporte con las métricas por clase, semillas y parámetros documentados, y declaración de refutación o sostenimiento de H4 y H5 con el mismo detalle en ambos casos</w:t>
            </w:r>
          </w:p>
        </w:tc>
        <w:tc>
          <w:tcPr>
            <w:tcW w:type="dxa" w:w="2448"/>
          </w:tcPr>
          <w:p>
            <w:r/>
            <w:r>
              <w:rPr>
                <w:rFonts w:ascii="Calibri" w:hAnsi="Calibri"/>
                <w:b w:val="0"/>
                <w:color w:val="2B2B2B"/>
                <w:sz w:val="20"/>
              </w:rPr>
              <w:t>S11</w:t>
            </w:r>
          </w:p>
        </w:tc>
      </w:tr>
      <w:tr>
        <w:tc>
          <w:tcPr>
            <w:tcW w:type="dxa" w:w="2448"/>
            <w:shd w:val="clear" w:fill="F5F7F5"/>
            <w:shd w:val="clear" w:fill="F5F7F5"/>
          </w:tcPr>
          <w:p>
            <w:r/>
            <w:r>
              <w:rPr>
                <w:rFonts w:ascii="Calibri" w:hAnsi="Calibri"/>
                <w:b/>
                <w:color w:val="2B2B2B"/>
                <w:sz w:val="20"/>
              </w:rPr>
              <w:t>Manuscrito de resultados</w:t>
            </w:r>
            <w:r>
              <w:rPr>
                <w:rFonts w:ascii="Calibri" w:hAnsi="Calibri"/>
                <w:b w:val="0"/>
                <w:color w:val="2B2B2B"/>
                <w:sz w:val="20"/>
              </w:rPr>
              <w:t xml:space="preserve"> (artículo o ponencia) que integra las dos hebras: la línea base de madurez, el modelo validado y la evaluación del detector, con las hipótesis refutadas reportadas como tales</w:t>
            </w:r>
          </w:p>
        </w:tc>
        <w:tc>
          <w:tcPr>
            <w:tcW w:type="dxa" w:w="2448"/>
            <w:shd w:val="clear" w:fill="F5F7F5"/>
            <w:shd w:val="clear" w:fill="F5F7F5"/>
          </w:tcPr>
          <w:p>
            <w:r/>
            <w:r>
              <w:rPr>
                <w:rFonts w:ascii="Calibri" w:hAnsi="Calibri"/>
                <w:b/>
                <w:color w:val="2B2B2B"/>
                <w:sz w:val="20"/>
              </w:rPr>
              <w:t>Transversal a los tres objetivos</w:t>
            </w:r>
            <w:r>
              <w:rPr>
                <w:rFonts w:ascii="Calibri" w:hAnsi="Calibri"/>
                <w:b w:val="0"/>
                <w:color w:val="2B2B2B"/>
                <w:sz w:val="20"/>
              </w:rPr>
              <w:t xml:space="preserve"> — no existe sin los productos de OE1, OE2 y OE3; lo redacta la actividad de cierre 20</w:t>
            </w:r>
          </w:p>
        </w:tc>
        <w:tc>
          <w:tcPr>
            <w:tcW w:type="dxa" w:w="2448"/>
            <w:shd w:val="clear" w:fill="F5F7F5"/>
            <w:shd w:val="clear" w:fill="F5F7F5"/>
          </w:tcPr>
          <w:p>
            <w:r/>
            <w:r>
              <w:rPr>
                <w:rFonts w:ascii="Calibri" w:hAnsi="Calibri"/>
                <w:b w:val="0"/>
                <w:color w:val="2B2B2B"/>
                <w:sz w:val="20"/>
              </w:rPr>
              <w:t>Manuscrito entregado a la DNI con datos, análisis, anexos y declaración de uso de herramientas de IA</w:t>
            </w:r>
          </w:p>
        </w:tc>
        <w:tc>
          <w:tcPr>
            <w:tcW w:type="dxa" w:w="2448"/>
            <w:shd w:val="clear" w:fill="F5F7F5"/>
            <w:shd w:val="clear" w:fill="F5F7F5"/>
          </w:tcPr>
          <w:p>
            <w:r/>
            <w:r>
              <w:rPr>
                <w:rFonts w:ascii="Calibri" w:hAnsi="Calibri"/>
                <w:b w:val="0"/>
                <w:color w:val="2B2B2B"/>
                <w:sz w:val="20"/>
              </w:rPr>
              <w:t>S12</w:t>
            </w:r>
          </w:p>
        </w:tc>
      </w:tr>
    </w:tbl>
    <w:p/>
    <w:p>
      <w:pPr>
        <w:spacing w:before="200" w:after="60"/>
      </w:pPr>
      <w:r>
        <w:rPr>
          <w:rFonts w:ascii="Calibri" w:hAnsi="Calibri"/>
          <w:b/>
          <w:color w:val="007433"/>
          <w:sz w:val="32"/>
        </w:rPr>
        <w:t>II. Formación de recurso humano en CTeI</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Producto esperado</w:t>
            </w:r>
          </w:p>
        </w:tc>
        <w:tc>
          <w:tcPr>
            <w:tcW w:type="dxa" w:w="2448"/>
            <w:shd w:val="clear" w:fill="0C2340"/>
            <w:shd w:val="clear" w:fill="0C2340"/>
          </w:tcPr>
          <w:p>
            <w:r>
              <w:rPr>
                <w:rFonts w:ascii="Calibri" w:hAnsi="Calibri"/>
                <w:b/>
                <w:color w:val="FFFFFF"/>
              </w:rPr>
            </w:r>
            <w:r>
              <w:rPr>
                <w:rFonts w:ascii="Calibri" w:hAnsi="Calibri"/>
                <w:b/>
                <w:color w:val="FFFFFF"/>
                <w:sz w:val="21"/>
              </w:rPr>
              <w:t>Objetivo</w:t>
            </w:r>
          </w:p>
        </w:tc>
        <w:tc>
          <w:tcPr>
            <w:tcW w:type="dxa" w:w="2448"/>
            <w:shd w:val="clear" w:fill="0C2340"/>
            <w:shd w:val="clear" w:fill="0C2340"/>
          </w:tcPr>
          <w:p>
            <w:r>
              <w:rPr>
                <w:rFonts w:ascii="Calibri" w:hAnsi="Calibri"/>
                <w:b/>
                <w:color w:val="FFFFFF"/>
              </w:rPr>
            </w:r>
            <w:r>
              <w:rPr>
                <w:rFonts w:ascii="Calibri" w:hAnsi="Calibri"/>
                <w:b/>
                <w:color w:val="FFFFFF"/>
                <w:sz w:val="21"/>
              </w:rPr>
              <w:t>Indicador de verificación</w:t>
            </w:r>
          </w:p>
        </w:tc>
        <w:tc>
          <w:tcPr>
            <w:tcW w:type="dxa" w:w="2448"/>
            <w:shd w:val="clear" w:fill="0C2340"/>
            <w:shd w:val="clear" w:fill="0C2340"/>
          </w:tcPr>
          <w:p>
            <w:r>
              <w:rPr>
                <w:rFonts w:ascii="Calibri" w:hAnsi="Calibri"/>
                <w:b/>
                <w:color w:val="FFFFFF"/>
              </w:rPr>
            </w:r>
            <w:r>
              <w:rPr>
                <w:rFonts w:ascii="Calibri" w:hAnsi="Calibri"/>
                <w:b/>
                <w:color w:val="FFFFFF"/>
                <w:sz w:val="21"/>
              </w:rPr>
              <w:t>Entrega</w:t>
            </w:r>
          </w:p>
        </w:tc>
      </w:tr>
      <w:tr>
        <w:tc>
          <w:tcPr>
            <w:tcW w:type="dxa" w:w="2448"/>
          </w:tcPr>
          <w:p>
            <w:r/>
            <w:r>
              <w:rPr>
                <w:rFonts w:ascii="Calibri" w:hAnsi="Calibri"/>
                <w:b/>
                <w:color w:val="2B2B2B"/>
                <w:sz w:val="20"/>
              </w:rPr>
              <w:t>Vinculación certificada de un estudiante de semillero</w:t>
            </w:r>
            <w:r>
              <w:rPr>
                <w:rFonts w:ascii="Calibri" w:hAnsi="Calibri"/>
                <w:b w:val="0"/>
                <w:color w:val="2B2B2B"/>
                <w:sz w:val="20"/>
              </w:rPr>
              <w:t xml:space="preserve"> como auxiliar de investigación y </w:t>
            </w:r>
            <w:r>
              <w:rPr>
                <w:rFonts w:ascii="Calibri" w:hAnsi="Calibri"/>
                <w:b/>
                <w:color w:val="2B2B2B"/>
                <w:sz w:val="20"/>
              </w:rPr>
              <w:t>segundo diagnosticador independiente</w:t>
            </w:r>
            <w:r>
              <w:rPr>
                <w:rFonts w:ascii="Calibri" w:hAnsi="Calibri"/>
                <w:b w:val="0"/>
                <w:color w:val="2B2B2B"/>
                <w:sz w:val="20"/>
              </w:rPr>
              <w:t>, con plan de trabajo, entrenamiento en las anclas del instrumento, participación en la documentación del prototipo y crédito explícito en el anexo de fiabilidad</w:t>
            </w:r>
          </w:p>
        </w:tc>
        <w:tc>
          <w:tcPr>
            <w:tcW w:type="dxa" w:w="2448"/>
          </w:tcPr>
          <w:p>
            <w:r/>
            <w:r>
              <w:rPr>
                <w:rFonts w:ascii="Calibri" w:hAnsi="Calibri"/>
                <w:b/>
                <w:color w:val="2B2B2B"/>
                <w:sz w:val="20"/>
              </w:rPr>
              <w:t>Transversal a OE1 y OE3</w:t>
            </w:r>
            <w:r>
              <w:rPr>
                <w:rFonts w:ascii="Calibri" w:hAnsi="Calibri"/>
                <w:b w:val="0"/>
                <w:color w:val="2B2B2B"/>
                <w:sz w:val="20"/>
              </w:rPr>
              <w:t xml:space="preserve"> — su función metodológica está en las actividades 5, 6 y 7 (OE1) y su participación técnica en la actividad 19 (OE3)</w:t>
            </w:r>
          </w:p>
        </w:tc>
        <w:tc>
          <w:tcPr>
            <w:tcW w:type="dxa" w:w="2448"/>
          </w:tcPr>
          <w:p>
            <w:r/>
            <w:r>
              <w:rPr>
                <w:rFonts w:ascii="Calibri" w:hAnsi="Calibri"/>
                <w:b w:val="0"/>
                <w:color w:val="2B2B2B"/>
                <w:sz w:val="20"/>
              </w:rPr>
              <w:t>Certificación institucional emitida; al menos dos organizaciones calificadas de forma independiente por el auxiliar; su contribución declarada en el informe y en el manuscrito</w:t>
            </w:r>
          </w:p>
        </w:tc>
        <w:tc>
          <w:tcPr>
            <w:tcW w:type="dxa" w:w="2448"/>
          </w:tcPr>
          <w:p>
            <w:r/>
            <w:r>
              <w:rPr>
                <w:rFonts w:ascii="Calibri" w:hAnsi="Calibri"/>
                <w:b w:val="0"/>
                <w:color w:val="2B2B2B"/>
                <w:sz w:val="20"/>
              </w:rPr>
              <w:t>S12</w:t>
            </w:r>
          </w:p>
        </w:tc>
      </w:tr>
    </w:tbl>
    <w:p/>
    <w:p>
      <w:r>
        <w:rPr>
          <w:rFonts w:ascii="Calibri" w:hAnsi="Calibri"/>
          <w:b w:val="0"/>
          <w:color w:val="2B2B2B"/>
          <w:sz w:val="22"/>
        </w:rPr>
        <w:t xml:space="preserve">Se compromete </w:t>
      </w:r>
      <w:r>
        <w:rPr>
          <w:rFonts w:ascii="Calibri" w:hAnsi="Calibri"/>
          <w:b/>
          <w:color w:val="2B2B2B"/>
          <w:sz w:val="22"/>
        </w:rPr>
        <w:t>un solo producto</w:t>
      </w:r>
      <w:r>
        <w:rPr>
          <w:rFonts w:ascii="Calibri" w:hAnsi="Calibri"/>
          <w:b w:val="0"/>
          <w:color w:val="2B2B2B"/>
          <w:sz w:val="22"/>
        </w:rPr>
        <w:t xml:space="preserve"> de esta tipología y así se declaró en el alcance (exclusión 9): en 12</w:t>
      </w:r>
    </w:p>
    <w:p>
      <w:r>
        <w:rPr>
          <w:rFonts w:ascii="Calibri" w:hAnsi="Calibri"/>
          <w:b w:val="0"/>
          <w:color w:val="2B2B2B"/>
          <w:sz w:val="22"/>
        </w:rPr>
        <w:t>semanas no se sostiene un semillero completo, y añadir productos formativos nominales para llenar la</w:t>
      </w:r>
    </w:p>
    <w:p>
      <w:r>
        <w:rPr>
          <w:rFonts w:ascii="Calibri" w:hAnsi="Calibri"/>
          <w:b w:val="0"/>
          <w:color w:val="2B2B2B"/>
          <w:sz w:val="22"/>
        </w:rPr>
        <w:t>tipología sería exactamente lo que el numeral 11 evalúa como incoherencia entre alcance y resultados.</w:t>
      </w:r>
    </w:p>
    <w:p>
      <w:pPr>
        <w:spacing w:before="200" w:after="60"/>
      </w:pPr>
      <w:r>
        <w:rPr>
          <w:rFonts w:ascii="Calibri" w:hAnsi="Calibri"/>
          <w:b/>
          <w:color w:val="007433"/>
          <w:sz w:val="32"/>
        </w:rPr>
        <w:t>III. Apropiación social del conocimiento</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Producto esperado</w:t>
            </w:r>
          </w:p>
        </w:tc>
        <w:tc>
          <w:tcPr>
            <w:tcW w:type="dxa" w:w="2448"/>
            <w:shd w:val="clear" w:fill="0C2340"/>
            <w:shd w:val="clear" w:fill="0C2340"/>
          </w:tcPr>
          <w:p>
            <w:r>
              <w:rPr>
                <w:rFonts w:ascii="Calibri" w:hAnsi="Calibri"/>
                <w:b/>
                <w:color w:val="FFFFFF"/>
              </w:rPr>
            </w:r>
            <w:r>
              <w:rPr>
                <w:rFonts w:ascii="Calibri" w:hAnsi="Calibri"/>
                <w:b/>
                <w:color w:val="FFFFFF"/>
                <w:sz w:val="21"/>
              </w:rPr>
              <w:t>Objetivo</w:t>
            </w:r>
          </w:p>
        </w:tc>
        <w:tc>
          <w:tcPr>
            <w:tcW w:type="dxa" w:w="2448"/>
            <w:shd w:val="clear" w:fill="0C2340"/>
            <w:shd w:val="clear" w:fill="0C2340"/>
          </w:tcPr>
          <w:p>
            <w:r>
              <w:rPr>
                <w:rFonts w:ascii="Calibri" w:hAnsi="Calibri"/>
                <w:b/>
                <w:color w:val="FFFFFF"/>
              </w:rPr>
            </w:r>
            <w:r>
              <w:rPr>
                <w:rFonts w:ascii="Calibri" w:hAnsi="Calibri"/>
                <w:b/>
                <w:color w:val="FFFFFF"/>
                <w:sz w:val="21"/>
              </w:rPr>
              <w:t>Indicador de verificación</w:t>
            </w:r>
          </w:p>
        </w:tc>
        <w:tc>
          <w:tcPr>
            <w:tcW w:type="dxa" w:w="2448"/>
            <w:shd w:val="clear" w:fill="0C2340"/>
            <w:shd w:val="clear" w:fill="0C2340"/>
          </w:tcPr>
          <w:p>
            <w:r>
              <w:rPr>
                <w:rFonts w:ascii="Calibri" w:hAnsi="Calibri"/>
                <w:b/>
                <w:color w:val="FFFFFF"/>
              </w:rPr>
            </w:r>
            <w:r>
              <w:rPr>
                <w:rFonts w:ascii="Calibri" w:hAnsi="Calibri"/>
                <w:b/>
                <w:color w:val="FFFFFF"/>
                <w:sz w:val="21"/>
              </w:rPr>
              <w:t>Entrega</w:t>
            </w:r>
          </w:p>
        </w:tc>
      </w:tr>
      <w:tr>
        <w:tc>
          <w:tcPr>
            <w:tcW w:type="dxa" w:w="2448"/>
          </w:tcPr>
          <w:p>
            <w:r/>
            <w:r>
              <w:rPr>
                <w:rFonts w:ascii="Calibri" w:hAnsi="Calibri"/>
                <w:b/>
                <w:color w:val="2B2B2B"/>
                <w:sz w:val="20"/>
              </w:rPr>
              <w:t>Cartilla de protección de datos y seguridad básica para organizaciones pequeñas</w:t>
            </w:r>
            <w:r>
              <w:rPr>
                <w:rFonts w:ascii="Calibri" w:hAnsi="Calibri"/>
                <w:b w:val="0"/>
                <w:color w:val="2B2B2B"/>
                <w:sz w:val="20"/>
              </w:rPr>
              <w:t>, en lenguaje no técnico, derivada del modelo validado e incluyendo el apartado de uso responsable de asistentes de IA generativa</w:t>
            </w:r>
          </w:p>
        </w:tc>
        <w:tc>
          <w:tcPr>
            <w:tcW w:type="dxa" w:w="2448"/>
          </w:tcPr>
          <w:p>
            <w:r/>
            <w:r>
              <w:rPr>
                <w:rFonts w:ascii="Calibri" w:hAnsi="Calibri"/>
                <w:b/>
                <w:color w:val="2B2B2B"/>
                <w:sz w:val="20"/>
              </w:rPr>
              <w:t>OE2</w:t>
            </w:r>
            <w:r>
              <w:rPr>
                <w:rFonts w:ascii="Calibri" w:hAnsi="Calibri"/>
                <w:b w:val="0"/>
                <w:color w:val="2B2B2B"/>
                <w:sz w:val="20"/>
              </w:rPr>
              <w:t xml:space="preserve"> (actividad 13)</w:t>
            </w:r>
          </w:p>
        </w:tc>
        <w:tc>
          <w:tcPr>
            <w:tcW w:type="dxa" w:w="2448"/>
          </w:tcPr>
          <w:p>
            <w:r/>
            <w:r>
              <w:rPr>
                <w:rFonts w:ascii="Calibri" w:hAnsi="Calibri"/>
                <w:b w:val="0"/>
                <w:color w:val="2B2B2B"/>
                <w:sz w:val="20"/>
              </w:rPr>
              <w:t>Cartilla diseñada e impresa; ejemplares entregados a cada organización participante y versión digital entregada a la DNI y a la unidad de Proyección Social</w:t>
            </w:r>
          </w:p>
        </w:tc>
        <w:tc>
          <w:tcPr>
            <w:tcW w:type="dxa" w:w="2448"/>
          </w:tcPr>
          <w:p>
            <w:r/>
            <w:r>
              <w:rPr>
                <w:rFonts w:ascii="Calibri" w:hAnsi="Calibri"/>
                <w:b w:val="0"/>
                <w:color w:val="2B2B2B"/>
                <w:sz w:val="20"/>
              </w:rPr>
              <w:t>S10</w:t>
            </w:r>
          </w:p>
        </w:tc>
      </w:tr>
      <w:tr>
        <w:tc>
          <w:tcPr>
            <w:tcW w:type="dxa" w:w="2448"/>
            <w:shd w:val="clear" w:fill="F5F7F5"/>
            <w:shd w:val="clear" w:fill="F5F7F5"/>
          </w:tcPr>
          <w:p>
            <w:r/>
            <w:r>
              <w:rPr>
                <w:rFonts w:ascii="Calibri" w:hAnsi="Calibri"/>
                <w:b/>
                <w:color w:val="2B2B2B"/>
                <w:sz w:val="20"/>
              </w:rPr>
              <w:t>Sesión de cierre y devolución por organización</w:t>
            </w:r>
            <w:r>
              <w:rPr>
                <w:rFonts w:ascii="Calibri" w:hAnsi="Calibri"/>
                <w:b w:val="0"/>
                <w:color w:val="2B2B2B"/>
                <w:sz w:val="20"/>
              </w:rPr>
              <w:t>, con entrega del informe individual, del modelo y de la cartilla, y con la constancia escrita de participación en una investigación —no un certificado de conformidad—</w:t>
            </w:r>
          </w:p>
        </w:tc>
        <w:tc>
          <w:tcPr>
            <w:tcW w:type="dxa" w:w="2448"/>
            <w:shd w:val="clear" w:fill="F5F7F5"/>
            <w:shd w:val="clear" w:fill="F5F7F5"/>
          </w:tcPr>
          <w:p>
            <w:r/>
            <w:r>
              <w:rPr>
                <w:rFonts w:ascii="Calibri" w:hAnsi="Calibri"/>
                <w:b/>
                <w:color w:val="2B2B2B"/>
                <w:sz w:val="20"/>
              </w:rPr>
              <w:t>OE2</w:t>
            </w:r>
            <w:r>
              <w:rPr>
                <w:rFonts w:ascii="Calibri" w:hAnsi="Calibri"/>
                <w:b w:val="0"/>
                <w:color w:val="2B2B2B"/>
                <w:sz w:val="20"/>
              </w:rPr>
              <w:t xml:space="preserve"> (actividad 13)</w:t>
            </w:r>
          </w:p>
        </w:tc>
        <w:tc>
          <w:tcPr>
            <w:tcW w:type="dxa" w:w="2448"/>
            <w:shd w:val="clear" w:fill="F5F7F5"/>
            <w:shd w:val="clear" w:fill="F5F7F5"/>
          </w:tcPr>
          <w:p>
            <w:r/>
            <w:r>
              <w:rPr>
                <w:rFonts w:ascii="Calibri" w:hAnsi="Calibri"/>
                <w:b w:val="0"/>
                <w:color w:val="2B2B2B"/>
                <w:sz w:val="20"/>
              </w:rPr>
              <w:t>Acta de cierre por organización con registro de compromisos de adopción (mínimo tres controles) y de la evidencia de implementación observada dentro de las 12 semanas (I9)</w:t>
            </w:r>
          </w:p>
        </w:tc>
        <w:tc>
          <w:tcPr>
            <w:tcW w:type="dxa" w:w="2448"/>
            <w:shd w:val="clear" w:fill="F5F7F5"/>
            <w:shd w:val="clear" w:fill="F5F7F5"/>
          </w:tcPr>
          <w:p>
            <w:r/>
            <w:r>
              <w:rPr>
                <w:rFonts w:ascii="Calibri" w:hAnsi="Calibri"/>
                <w:b w:val="0"/>
                <w:color w:val="2B2B2B"/>
                <w:sz w:val="20"/>
              </w:rPr>
              <w:t>S10</w:t>
            </w:r>
          </w:p>
        </w:tc>
      </w:tr>
    </w:tbl>
    <w:p/>
    <w:p>
      <w:pPr>
        <w:spacing w:before="200" w:after="60"/>
      </w:pPr>
      <w:r>
        <w:rPr>
          <w:rFonts w:ascii="Calibri" w:hAnsi="Calibri"/>
          <w:b/>
          <w:color w:val="007433"/>
          <w:sz w:val="32"/>
        </w:rPr>
        <w:t>IV. Desarrollo tecnológico e innovación</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Producto esperado</w:t>
            </w:r>
          </w:p>
        </w:tc>
        <w:tc>
          <w:tcPr>
            <w:tcW w:type="dxa" w:w="2448"/>
            <w:shd w:val="clear" w:fill="0C2340"/>
            <w:shd w:val="clear" w:fill="0C2340"/>
          </w:tcPr>
          <w:p>
            <w:r>
              <w:rPr>
                <w:rFonts w:ascii="Calibri" w:hAnsi="Calibri"/>
                <w:b/>
                <w:color w:val="FFFFFF"/>
              </w:rPr>
            </w:r>
            <w:r>
              <w:rPr>
                <w:rFonts w:ascii="Calibri" w:hAnsi="Calibri"/>
                <w:b/>
                <w:color w:val="FFFFFF"/>
                <w:sz w:val="21"/>
              </w:rPr>
              <w:t>Objetivo</w:t>
            </w:r>
          </w:p>
        </w:tc>
        <w:tc>
          <w:tcPr>
            <w:tcW w:type="dxa" w:w="2448"/>
            <w:shd w:val="clear" w:fill="0C2340"/>
            <w:shd w:val="clear" w:fill="0C2340"/>
          </w:tcPr>
          <w:p>
            <w:r>
              <w:rPr>
                <w:rFonts w:ascii="Calibri" w:hAnsi="Calibri"/>
                <w:b/>
                <w:color w:val="FFFFFF"/>
              </w:rPr>
            </w:r>
            <w:r>
              <w:rPr>
                <w:rFonts w:ascii="Calibri" w:hAnsi="Calibri"/>
                <w:b/>
                <w:color w:val="FFFFFF"/>
                <w:sz w:val="21"/>
              </w:rPr>
              <w:t>Indicador de verificación</w:t>
            </w:r>
          </w:p>
        </w:tc>
        <w:tc>
          <w:tcPr>
            <w:tcW w:type="dxa" w:w="2448"/>
            <w:shd w:val="clear" w:fill="0C2340"/>
            <w:shd w:val="clear" w:fill="0C2340"/>
          </w:tcPr>
          <w:p>
            <w:r>
              <w:rPr>
                <w:rFonts w:ascii="Calibri" w:hAnsi="Calibri"/>
                <w:b/>
                <w:color w:val="FFFFFF"/>
              </w:rPr>
            </w:r>
            <w:r>
              <w:rPr>
                <w:rFonts w:ascii="Calibri" w:hAnsi="Calibri"/>
                <w:b/>
                <w:color w:val="FFFFFF"/>
                <w:sz w:val="21"/>
              </w:rPr>
              <w:t>Entrega</w:t>
            </w:r>
          </w:p>
        </w:tc>
      </w:tr>
      <w:tr>
        <w:tc>
          <w:tcPr>
            <w:tcW w:type="dxa" w:w="2448"/>
          </w:tcPr>
          <w:p>
            <w:r/>
            <w:r>
              <w:rPr>
                <w:rFonts w:ascii="Calibri" w:hAnsi="Calibri"/>
                <w:b/>
                <w:color w:val="2B2B2B"/>
                <w:sz w:val="20"/>
              </w:rPr>
              <w:t>Modelo de buenas prácticas validado</w:t>
            </w:r>
            <w:r>
              <w:rPr>
                <w:rFonts w:ascii="Calibri" w:hAnsi="Calibri"/>
                <w:b w:val="0"/>
                <w:color w:val="2B2B2B"/>
                <w:sz w:val="20"/>
              </w:rPr>
              <w:t xml:space="preserve"> — lista de verificación y protocolo operativo, con el apartado de uso de IA generativa por la organización, cada recomendación anclada a una dimensión deficitaria y a la restricción real que la entrevista reveló</w:t>
            </w:r>
          </w:p>
        </w:tc>
        <w:tc>
          <w:tcPr>
            <w:tcW w:type="dxa" w:w="2448"/>
          </w:tcPr>
          <w:p>
            <w:r/>
            <w:r>
              <w:rPr>
                <w:rFonts w:ascii="Calibri" w:hAnsi="Calibri"/>
                <w:b/>
                <w:color w:val="2B2B2B"/>
                <w:sz w:val="20"/>
              </w:rPr>
              <w:t>OE2 principalmente (actividades 10, 11, 12), con aporte declarado de OE3</w:t>
            </w:r>
            <w:r>
              <w:rPr>
                <w:rFonts w:ascii="Calibri" w:hAnsi="Calibri"/>
                <w:b w:val="0"/>
                <w:color w:val="2B2B2B"/>
                <w:sz w:val="20"/>
              </w:rPr>
              <w:t xml:space="preserve"> en el componente D7 de registro y revisión de eventos, que proviene de la actividad 18</w:t>
            </w:r>
          </w:p>
        </w:tc>
        <w:tc>
          <w:tcPr>
            <w:tcW w:type="dxa" w:w="2448"/>
          </w:tcPr>
          <w:p>
            <w:r/>
            <w:r>
              <w:rPr>
                <w:rFonts w:ascii="Calibri" w:hAnsi="Calibri"/>
                <w:b w:val="0"/>
                <w:color w:val="2B2B2B"/>
                <w:sz w:val="20"/>
              </w:rPr>
              <w:t xml:space="preserve">Modelo en versión final; </w:t>
            </w:r>
            <w:r>
              <w:rPr>
                <w:rFonts w:ascii="Calibri" w:hAnsi="Calibri"/>
                <w:b/>
                <w:color w:val="2B2B2B"/>
                <w:sz w:val="20"/>
              </w:rPr>
              <w:t>I5 diligenciado por todas las organizaciones</w:t>
            </w:r>
            <w:r>
              <w:rPr>
                <w:rFonts w:ascii="Calibri" w:hAnsi="Calibri"/>
                <w:b w:val="0"/>
                <w:color w:val="2B2B2B"/>
                <w:sz w:val="20"/>
              </w:rPr>
              <w:t xml:space="preserve"> con el porcentaje de recomendaciones aplicables con recursos propios y el catálogo razonado de rechazos; recomendaciones provenientes del prototipo marcadas como no sometidas al juicio de aplicabilidad</w:t>
            </w:r>
          </w:p>
        </w:tc>
        <w:tc>
          <w:tcPr>
            <w:tcW w:type="dxa" w:w="2448"/>
          </w:tcPr>
          <w:p>
            <w:r/>
            <w:r>
              <w:rPr>
                <w:rFonts w:ascii="Calibri" w:hAnsi="Calibri"/>
                <w:b w:val="0"/>
                <w:color w:val="2B2B2B"/>
                <w:sz w:val="20"/>
              </w:rPr>
              <w:t>S10</w:t>
            </w:r>
          </w:p>
        </w:tc>
      </w:tr>
      <w:tr>
        <w:tc>
          <w:tcPr>
            <w:tcW w:type="dxa" w:w="2448"/>
            <w:shd w:val="clear" w:fill="F5F7F5"/>
            <w:shd w:val="clear" w:fill="F5F7F5"/>
          </w:tcPr>
          <w:p>
            <w:r/>
            <w:r>
              <w:rPr>
                <w:rFonts w:ascii="Calibri" w:hAnsi="Calibri"/>
                <w:b/>
                <w:color w:val="2B2B2B"/>
                <w:sz w:val="20"/>
              </w:rPr>
              <w:t>Prototipo de detección de anomalías documentado como cuaderno reproducible</w:t>
            </w:r>
            <w:r>
              <w:rPr>
                <w:rFonts w:ascii="Calibri" w:hAnsi="Calibri"/>
                <w:b w:val="0"/>
                <w:color w:val="2B2B2B"/>
                <w:sz w:val="20"/>
              </w:rPr>
              <w:t xml:space="preserve"> — Isolation Forest en </w:t>
            </w:r>
            <w:r>
              <w:rPr>
                <w:rFonts w:ascii="Consolas" w:hAnsi="Consolas"/>
                <w:color w:val="111111"/>
                <w:sz w:val="19"/>
              </w:rPr>
              <w:t>scikit-learn</w:t>
            </w:r>
            <w:r>
              <w:rPr>
                <w:rFonts w:ascii="Calibri" w:hAnsi="Calibri"/>
                <w:b w:val="0"/>
                <w:color w:val="2B2B2B"/>
                <w:sz w:val="20"/>
              </w:rPr>
              <w:t xml:space="preserve"> y detector estadístico de referencia, con generador de registros sintéticos, semillas fijadas, datos de ejemplo e instrucciones para ejecutarlo sobre registros propios</w:t>
            </w:r>
          </w:p>
        </w:tc>
        <w:tc>
          <w:tcPr>
            <w:tcW w:type="dxa" w:w="2448"/>
            <w:shd w:val="clear" w:fill="F5F7F5"/>
            <w:shd w:val="clear" w:fill="F5F7F5"/>
          </w:tcPr>
          <w:p>
            <w:r/>
            <w:r>
              <w:rPr>
                <w:rFonts w:ascii="Calibri" w:hAnsi="Calibri"/>
                <w:b/>
                <w:color w:val="2B2B2B"/>
                <w:sz w:val="20"/>
              </w:rPr>
              <w:t>OE3</w:t>
            </w:r>
            <w:r>
              <w:rPr>
                <w:rFonts w:ascii="Calibri" w:hAnsi="Calibri"/>
                <w:b w:val="0"/>
                <w:color w:val="2B2B2B"/>
                <w:sz w:val="20"/>
              </w:rPr>
              <w:t xml:space="preserve"> (actividades 14, 15, 16, 19)</w:t>
            </w:r>
          </w:p>
        </w:tc>
        <w:tc>
          <w:tcPr>
            <w:tcW w:type="dxa" w:w="2448"/>
            <w:shd w:val="clear" w:fill="F5F7F5"/>
            <w:shd w:val="clear" w:fill="F5F7F5"/>
          </w:tcPr>
          <w:p>
            <w:r/>
            <w:r>
              <w:rPr>
                <w:rFonts w:ascii="Calibri" w:hAnsi="Calibri"/>
                <w:b w:val="0"/>
                <w:color w:val="2B2B2B"/>
                <w:sz w:val="20"/>
              </w:rPr>
              <w:t>Cuaderno ejecutable de extremo a extremo por un tercero sobre los datos de ejemplo, reproduciendo las cifras del reporte técnico; entregado con la advertencia escrita de ausencia de soporte y mantenimiento</w:t>
            </w:r>
          </w:p>
        </w:tc>
        <w:tc>
          <w:tcPr>
            <w:tcW w:type="dxa" w:w="2448"/>
            <w:shd w:val="clear" w:fill="F5F7F5"/>
            <w:shd w:val="clear" w:fill="F5F7F5"/>
          </w:tcPr>
          <w:p>
            <w:r/>
            <w:r>
              <w:rPr>
                <w:rFonts w:ascii="Calibri" w:hAnsi="Calibri"/>
                <w:b w:val="0"/>
                <w:color w:val="2B2B2B"/>
                <w:sz w:val="20"/>
              </w:rPr>
              <w:t>S11</w:t>
            </w:r>
          </w:p>
        </w:tc>
      </w:tr>
    </w:tbl>
    <w:p/>
    <w:p>
      <w:r>
        <w:rPr>
          <w:rFonts w:ascii="Calibri" w:hAnsi="Calibri"/>
          <w:b/>
          <w:color w:val="2B2B2B"/>
          <w:sz w:val="22"/>
        </w:rPr>
        <w:t>Sobre las cuatro tipologías.</w:t>
      </w:r>
      <w:r>
        <w:rPr>
          <w:rFonts w:ascii="Calibri" w:hAnsi="Calibri"/>
          <w:b w:val="0"/>
          <w:color w:val="2B2B2B"/>
          <w:sz w:val="22"/>
        </w:rPr>
        <w:t xml:space="preserve"> Se comprometen las cuatro porque el diseño las produce sin forzarlas, y</w:t>
      </w:r>
    </w:p>
    <w:p>
      <w:r>
        <w:rPr>
          <w:rFonts w:ascii="Calibri" w:hAnsi="Calibri"/>
          <w:b w:val="0"/>
          <w:color w:val="2B2B2B"/>
          <w:sz w:val="22"/>
        </w:rPr>
        <w:t xml:space="preserve">con volúmenes desiguales que se declaran: cuatro productos de conocimiento nuevo, </w:t>
      </w:r>
      <w:r>
        <w:rPr>
          <w:rFonts w:ascii="Calibri" w:hAnsi="Calibri"/>
          <w:b/>
          <w:color w:val="2B2B2B"/>
          <w:sz w:val="22"/>
        </w:rPr>
        <w:t>uno solo</w:t>
      </w:r>
      <w:r>
        <w:rPr>
          <w:rFonts w:ascii="Calibri" w:hAnsi="Calibri"/>
          <w:b w:val="0"/>
          <w:color w:val="2B2B2B"/>
          <w:sz w:val="22"/>
        </w:rPr>
        <w:t xml:space="preserve"> de</w:t>
      </w:r>
    </w:p>
    <w:p>
      <w:r>
        <w:rPr>
          <w:rFonts w:ascii="Calibri" w:hAnsi="Calibri"/>
          <w:b w:val="0"/>
          <w:color w:val="2B2B2B"/>
          <w:sz w:val="22"/>
        </w:rPr>
        <w:t>formación de recurso humano, dos de apropiación social y dos de desarrollo tecnológico. No se compromete</w:t>
      </w:r>
    </w:p>
    <w:p>
      <w:r>
        <w:rPr>
          <w:rFonts w:ascii="Calibri" w:hAnsi="Calibri"/>
          <w:b w:val="0"/>
          <w:color w:val="2B2B2B"/>
          <w:sz w:val="22"/>
        </w:rPr>
        <w:t xml:space="preserve">un producto de </w:t>
      </w:r>
      <w:r>
        <w:rPr>
          <w:rFonts w:ascii="Calibri" w:hAnsi="Calibri"/>
          <w:b/>
          <w:color w:val="2B2B2B"/>
          <w:sz w:val="22"/>
        </w:rPr>
        <w:t>divulgación pública de la ciencia</w:t>
      </w:r>
      <w:r>
        <w:rPr>
          <w:rFonts w:ascii="Calibri" w:hAnsi="Calibri"/>
          <w:b w:val="0"/>
          <w:color w:val="2B2B2B"/>
          <w:sz w:val="22"/>
        </w:rPr>
        <w:t xml:space="preserve"> distinto de la cartilla: en 12 semanas sería la misma</w:t>
      </w:r>
    </w:p>
    <w:p>
      <w:r>
        <w:rPr>
          <w:rFonts w:ascii="Calibri" w:hAnsi="Calibri"/>
          <w:b w:val="0"/>
          <w:color w:val="2B2B2B"/>
          <w:sz w:val="22"/>
        </w:rPr>
        <w:t>cartilla bajo otro rótulo, y así quedó excluido en el alcance. Tampoco se compromete software con</w:t>
      </w:r>
    </w:p>
    <w:p>
      <w:r>
        <w:rPr>
          <w:rFonts w:ascii="Calibri" w:hAnsi="Calibri"/>
          <w:b w:val="0"/>
          <w:color w:val="2B2B2B"/>
          <w:sz w:val="22"/>
        </w:rPr>
        <w:t>condición de producto, coherentemente con la decisión de no marcar "Desarrollo de Software" en el tipo de</w:t>
      </w:r>
    </w:p>
    <w:p>
      <w:r>
        <w:rPr>
          <w:rFonts w:ascii="Calibri" w:hAnsi="Calibri"/>
          <w:b w:val="0"/>
          <w:color w:val="2B2B2B"/>
          <w:sz w:val="22"/>
        </w:rPr>
        <w:t>propuesta: lo que se entrega es un prototipo instrumental de la investigación.</w:t>
      </w:r>
    </w:p>
    <w:p>
      <w:pPr>
        <w:spacing w:before="200" w:after="60"/>
      </w:pPr>
      <w:r>
        <w:rPr>
          <w:rFonts w:ascii="Calibri" w:hAnsi="Calibri"/>
          <w:b/>
          <w:color w:val="007433"/>
          <w:sz w:val="32"/>
        </w:rPr>
        <w:t>Presupuesto detallado</w:t>
      </w:r>
    </w:p>
    <w:p>
      <w:r>
        <w:rPr>
          <w:rFonts w:ascii="Calibri" w:hAnsi="Calibri"/>
          <w:b w:val="0"/>
          <w:color w:val="2B2B2B"/>
          <w:sz w:val="22"/>
        </w:rPr>
        <w:t xml:space="preserve">Total solicitado: </w:t>
      </w:r>
      <w:r>
        <w:rPr>
          <w:rFonts w:ascii="Calibri" w:hAnsi="Calibri"/>
          <w:b/>
          <w:color w:val="2B2B2B"/>
          <w:sz w:val="22"/>
        </w:rPr>
        <w:t>$4.980.000 COP</w:t>
      </w:r>
      <w:r>
        <w:rPr>
          <w:rFonts w:ascii="Calibri" w:hAnsi="Calibri"/>
          <w:b w:val="0"/>
          <w:color w:val="2B2B2B"/>
          <w:sz w:val="22"/>
        </w:rPr>
        <w:t>, por debajo del techo de $5.000.000 del numeral 8. La tabla suma</w:t>
      </w:r>
    </w:p>
    <w:p>
      <w:r>
        <w:rPr>
          <w:rFonts w:ascii="Calibri" w:hAnsi="Calibri"/>
          <w:b w:val="0"/>
          <w:color w:val="2B2B2B"/>
          <w:sz w:val="22"/>
        </w:rPr>
        <w:t>exactamente esa cifra y la verificación aritmética está escrita línea por línea debajo.</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shd w:val="clear" w:fill="0C2340"/>
            <w:shd w:val="clear" w:fill="0C2340"/>
          </w:tcPr>
          <w:p>
            <w:r>
              <w:rPr>
                <w:rFonts w:ascii="Calibri" w:hAnsi="Calibri"/>
                <w:b/>
                <w:color w:val="FFFFFF"/>
              </w:rPr>
            </w:r>
            <w:r>
              <w:rPr>
                <w:rFonts w:ascii="Calibri" w:hAnsi="Calibri"/>
                <w:b/>
                <w:color w:val="FFFFFF"/>
                <w:sz w:val="21"/>
              </w:rPr>
              <w:t>#</w:t>
            </w:r>
          </w:p>
        </w:tc>
        <w:tc>
          <w:tcPr>
            <w:tcW w:type="dxa" w:w="1632"/>
            <w:shd w:val="clear" w:fill="0C2340"/>
            <w:shd w:val="clear" w:fill="0C2340"/>
          </w:tcPr>
          <w:p>
            <w:r>
              <w:rPr>
                <w:rFonts w:ascii="Calibri" w:hAnsi="Calibri"/>
                <w:b/>
                <w:color w:val="FFFFFF"/>
              </w:rPr>
            </w:r>
            <w:r>
              <w:rPr>
                <w:rFonts w:ascii="Calibri" w:hAnsi="Calibri"/>
                <w:b/>
                <w:color w:val="FFFFFF"/>
                <w:sz w:val="21"/>
              </w:rPr>
              <w:t>Rubro</w:t>
            </w:r>
          </w:p>
        </w:tc>
        <w:tc>
          <w:tcPr>
            <w:tcW w:type="dxa" w:w="1632"/>
            <w:shd w:val="clear" w:fill="0C2340"/>
            <w:shd w:val="clear" w:fill="0C2340"/>
          </w:tcPr>
          <w:p>
            <w:r>
              <w:rPr>
                <w:rFonts w:ascii="Calibri" w:hAnsi="Calibri"/>
                <w:b/>
                <w:color w:val="FFFFFF"/>
              </w:rPr>
            </w:r>
            <w:r>
              <w:rPr>
                <w:rFonts w:ascii="Calibri" w:hAnsi="Calibri"/>
                <w:b/>
                <w:color w:val="FFFFFF"/>
                <w:sz w:val="21"/>
              </w:rPr>
              <w:t>Descripción</w:t>
            </w:r>
          </w:p>
        </w:tc>
        <w:tc>
          <w:tcPr>
            <w:tcW w:type="dxa" w:w="1632"/>
            <w:shd w:val="clear" w:fill="0C2340"/>
            <w:shd w:val="clear" w:fill="0C2340"/>
          </w:tcPr>
          <w:p>
            <w:r>
              <w:rPr>
                <w:rFonts w:ascii="Calibri" w:hAnsi="Calibri"/>
                <w:b/>
                <w:color w:val="FFFFFF"/>
              </w:rPr>
            </w:r>
            <w:r>
              <w:rPr>
                <w:rFonts w:ascii="Calibri" w:hAnsi="Calibri"/>
                <w:b/>
                <w:color w:val="FFFFFF"/>
                <w:sz w:val="21"/>
              </w:rPr>
              <w:t>Cantidad</w:t>
            </w:r>
          </w:p>
        </w:tc>
        <w:tc>
          <w:tcPr>
            <w:tcW w:type="dxa" w:w="1632"/>
            <w:shd w:val="clear" w:fill="0C2340"/>
            <w:shd w:val="clear" w:fill="0C2340"/>
          </w:tcPr>
          <w:p>
            <w:r>
              <w:rPr>
                <w:rFonts w:ascii="Calibri" w:hAnsi="Calibri"/>
                <w:b/>
                <w:color w:val="FFFFFF"/>
              </w:rPr>
            </w:r>
            <w:r>
              <w:rPr>
                <w:rFonts w:ascii="Calibri" w:hAnsi="Calibri"/>
                <w:b/>
                <w:color w:val="FFFFFF"/>
                <w:sz w:val="21"/>
              </w:rPr>
              <w:t>Valor unitario (COP)</w:t>
            </w:r>
          </w:p>
        </w:tc>
        <w:tc>
          <w:tcPr>
            <w:tcW w:type="dxa" w:w="1632"/>
            <w:shd w:val="clear" w:fill="0C2340"/>
            <w:shd w:val="clear" w:fill="0C2340"/>
          </w:tcPr>
          <w:p>
            <w:r>
              <w:rPr>
                <w:rFonts w:ascii="Calibri" w:hAnsi="Calibri"/>
                <w:b/>
                <w:color w:val="FFFFFF"/>
              </w:rPr>
            </w:r>
            <w:r>
              <w:rPr>
                <w:rFonts w:ascii="Calibri" w:hAnsi="Calibri"/>
                <w:b/>
                <w:color w:val="FFFFFF"/>
                <w:sz w:val="21"/>
              </w:rPr>
              <w:t>Valor total (COP)</w:t>
            </w:r>
          </w:p>
        </w:tc>
      </w:tr>
      <w:tr>
        <w:tc>
          <w:tcPr>
            <w:tcW w:type="dxa" w:w="1632"/>
          </w:tcPr>
          <w:p>
            <w:r/>
            <w:r>
              <w:rPr>
                <w:rFonts w:ascii="Calibri" w:hAnsi="Calibri"/>
                <w:b w:val="0"/>
                <w:color w:val="2B2B2B"/>
                <w:sz w:val="20"/>
              </w:rPr>
              <w:t>1</w:t>
            </w:r>
          </w:p>
        </w:tc>
        <w:tc>
          <w:tcPr>
            <w:tcW w:type="dxa" w:w="1632"/>
          </w:tcPr>
          <w:p>
            <w:r/>
            <w:r>
              <w:rPr>
                <w:rFonts w:ascii="Calibri" w:hAnsi="Calibri"/>
                <w:b w:val="0"/>
                <w:color w:val="2B2B2B"/>
                <w:sz w:val="20"/>
              </w:rPr>
              <w:t>Talento humano</w:t>
            </w:r>
          </w:p>
        </w:tc>
        <w:tc>
          <w:tcPr>
            <w:tcW w:type="dxa" w:w="1632"/>
          </w:tcPr>
          <w:p>
            <w:r/>
            <w:r>
              <w:rPr>
                <w:rFonts w:ascii="Calibri" w:hAnsi="Calibri"/>
                <w:b w:val="0"/>
                <w:color w:val="2B2B2B"/>
                <w:sz w:val="20"/>
              </w:rPr>
              <w:t>Auxiliar de investigación de semillero: entrenamiento en las anclas, doble diagnóstico independiente en al menos dos organizaciones, apoyo en la sistematización y en la documentación del prototipo (bonificación por 3 meses)</w:t>
            </w:r>
          </w:p>
        </w:tc>
        <w:tc>
          <w:tcPr>
            <w:tcW w:type="dxa" w:w="1632"/>
          </w:tcPr>
          <w:p>
            <w:r/>
            <w:r>
              <w:rPr>
                <w:rFonts w:ascii="Calibri" w:hAnsi="Calibri"/>
                <w:b w:val="0"/>
                <w:color w:val="2B2B2B"/>
                <w:sz w:val="20"/>
              </w:rPr>
              <w:t>1</w:t>
            </w:r>
          </w:p>
        </w:tc>
        <w:tc>
          <w:tcPr>
            <w:tcW w:type="dxa" w:w="1632"/>
          </w:tcPr>
          <w:p>
            <w:r/>
            <w:r>
              <w:rPr>
                <w:rFonts w:ascii="Calibri" w:hAnsi="Calibri"/>
                <w:b w:val="0"/>
                <w:color w:val="2B2B2B"/>
                <w:sz w:val="20"/>
              </w:rPr>
              <w:t>900.000</w:t>
            </w:r>
          </w:p>
        </w:tc>
        <w:tc>
          <w:tcPr>
            <w:tcW w:type="dxa" w:w="1632"/>
          </w:tcPr>
          <w:p>
            <w:r/>
            <w:r>
              <w:rPr>
                <w:rFonts w:ascii="Calibri" w:hAnsi="Calibri"/>
                <w:b w:val="0"/>
                <w:color w:val="2B2B2B"/>
                <w:sz w:val="20"/>
              </w:rPr>
              <w:t>900.000</w:t>
            </w:r>
          </w:p>
        </w:tc>
      </w:tr>
      <w:tr>
        <w:tc>
          <w:tcPr>
            <w:tcW w:type="dxa" w:w="1632"/>
            <w:shd w:val="clear" w:fill="F5F7F5"/>
            <w:shd w:val="clear" w:fill="F5F7F5"/>
          </w:tcPr>
          <w:p>
            <w:r/>
            <w:r>
              <w:rPr>
                <w:rFonts w:ascii="Calibri" w:hAnsi="Calibri"/>
                <w:b w:val="0"/>
                <w:color w:val="2B2B2B"/>
                <w:sz w:val="20"/>
              </w:rPr>
              <w:t>2</w:t>
            </w:r>
          </w:p>
        </w:tc>
        <w:tc>
          <w:tcPr>
            <w:tcW w:type="dxa" w:w="1632"/>
            <w:shd w:val="clear" w:fill="F5F7F5"/>
            <w:shd w:val="clear" w:fill="F5F7F5"/>
          </w:tcPr>
          <w:p>
            <w:r/>
            <w:r>
              <w:rPr>
                <w:rFonts w:ascii="Calibri" w:hAnsi="Calibri"/>
                <w:b w:val="0"/>
                <w:color w:val="2B2B2B"/>
                <w:sz w:val="20"/>
              </w:rPr>
              <w:t>Salidas de campo</w:t>
            </w:r>
          </w:p>
        </w:tc>
        <w:tc>
          <w:tcPr>
            <w:tcW w:type="dxa" w:w="1632"/>
            <w:shd w:val="clear" w:fill="F5F7F5"/>
            <w:shd w:val="clear" w:fill="F5F7F5"/>
          </w:tcPr>
          <w:p>
            <w:r/>
            <w:r>
              <w:rPr>
                <w:rFonts w:ascii="Calibri" w:hAnsi="Calibri"/>
                <w:b w:val="0"/>
                <w:color w:val="2B2B2B"/>
                <w:sz w:val="20"/>
              </w:rPr>
              <w:t>Desplazamientos urbanos del investigador y del auxiliar a las organizaciones: visita de diagnóstico, sesión de validación y sesión de cierre (hasta 5 organizaciones × 3 visitas × 2 personas = 30 trayectos)</w:t>
            </w:r>
          </w:p>
        </w:tc>
        <w:tc>
          <w:tcPr>
            <w:tcW w:type="dxa" w:w="1632"/>
            <w:shd w:val="clear" w:fill="F5F7F5"/>
            <w:shd w:val="clear" w:fill="F5F7F5"/>
          </w:tcPr>
          <w:p>
            <w:r/>
            <w:r>
              <w:rPr>
                <w:rFonts w:ascii="Calibri" w:hAnsi="Calibri"/>
                <w:b w:val="0"/>
                <w:color w:val="2B2B2B"/>
                <w:sz w:val="20"/>
              </w:rPr>
              <w:t>30</w:t>
            </w:r>
          </w:p>
        </w:tc>
        <w:tc>
          <w:tcPr>
            <w:tcW w:type="dxa" w:w="1632"/>
            <w:shd w:val="clear" w:fill="F5F7F5"/>
            <w:shd w:val="clear" w:fill="F5F7F5"/>
          </w:tcPr>
          <w:p>
            <w:r/>
            <w:r>
              <w:rPr>
                <w:rFonts w:ascii="Calibri" w:hAnsi="Calibri"/>
                <w:b w:val="0"/>
                <w:color w:val="2B2B2B"/>
                <w:sz w:val="20"/>
              </w:rPr>
              <w:t>22.000</w:t>
            </w:r>
          </w:p>
        </w:tc>
        <w:tc>
          <w:tcPr>
            <w:tcW w:type="dxa" w:w="1632"/>
            <w:shd w:val="clear" w:fill="F5F7F5"/>
            <w:shd w:val="clear" w:fill="F5F7F5"/>
          </w:tcPr>
          <w:p>
            <w:r/>
            <w:r>
              <w:rPr>
                <w:rFonts w:ascii="Calibri" w:hAnsi="Calibri"/>
                <w:b w:val="0"/>
                <w:color w:val="2B2B2B"/>
                <w:sz w:val="20"/>
              </w:rPr>
              <w:t>660.000</w:t>
            </w:r>
          </w:p>
        </w:tc>
      </w:tr>
      <w:tr>
        <w:tc>
          <w:tcPr>
            <w:tcW w:type="dxa" w:w="1632"/>
          </w:tcPr>
          <w:p>
            <w:r/>
            <w:r>
              <w:rPr>
                <w:rFonts w:ascii="Calibri" w:hAnsi="Calibri"/>
                <w:b w:val="0"/>
                <w:color w:val="2B2B2B"/>
                <w:sz w:val="20"/>
              </w:rPr>
              <w:t>3</w:t>
            </w:r>
          </w:p>
        </w:tc>
        <w:tc>
          <w:tcPr>
            <w:tcW w:type="dxa" w:w="1632"/>
          </w:tcPr>
          <w:p>
            <w:r/>
            <w:r>
              <w:rPr>
                <w:rFonts w:ascii="Calibri" w:hAnsi="Calibri"/>
                <w:b w:val="0"/>
                <w:color w:val="2B2B2B"/>
                <w:sz w:val="20"/>
              </w:rPr>
              <w:t>Materiales y suministros</w:t>
            </w:r>
          </w:p>
        </w:tc>
        <w:tc>
          <w:tcPr>
            <w:tcW w:type="dxa" w:w="1632"/>
          </w:tcPr>
          <w:p>
            <w:r/>
            <w:r>
              <w:rPr>
                <w:rFonts w:ascii="Calibri" w:hAnsi="Calibri"/>
                <w:b w:val="0"/>
                <w:color w:val="2B2B2B"/>
                <w:sz w:val="20"/>
              </w:rPr>
              <w:t>Papelería, impresión de formatos de diagnóstico (I2), formatos de juicio experto (I3), consentimientos informados (I6), formatos de validación (I5) y carpetas de evidencia por organización</w:t>
            </w:r>
          </w:p>
        </w:tc>
        <w:tc>
          <w:tcPr>
            <w:tcW w:type="dxa" w:w="1632"/>
          </w:tcPr>
          <w:p>
            <w:r/>
            <w:r>
              <w:rPr>
                <w:rFonts w:ascii="Calibri" w:hAnsi="Calibri"/>
                <w:b w:val="0"/>
                <w:color w:val="2B2B2B"/>
                <w:sz w:val="20"/>
              </w:rPr>
              <w:t>1</w:t>
            </w:r>
          </w:p>
        </w:tc>
        <w:tc>
          <w:tcPr>
            <w:tcW w:type="dxa" w:w="1632"/>
          </w:tcPr>
          <w:p>
            <w:r/>
            <w:r>
              <w:rPr>
                <w:rFonts w:ascii="Calibri" w:hAnsi="Calibri"/>
                <w:b w:val="0"/>
                <w:color w:val="2B2B2B"/>
                <w:sz w:val="20"/>
              </w:rPr>
              <w:t>180.000</w:t>
            </w:r>
          </w:p>
        </w:tc>
        <w:tc>
          <w:tcPr>
            <w:tcW w:type="dxa" w:w="1632"/>
          </w:tcPr>
          <w:p>
            <w:r/>
            <w:r>
              <w:rPr>
                <w:rFonts w:ascii="Calibri" w:hAnsi="Calibri"/>
                <w:b w:val="0"/>
                <w:color w:val="2B2B2B"/>
                <w:sz w:val="20"/>
              </w:rPr>
              <w:t>180.000</w:t>
            </w:r>
          </w:p>
        </w:tc>
      </w:tr>
      <w:tr>
        <w:tc>
          <w:tcPr>
            <w:tcW w:type="dxa" w:w="1632"/>
            <w:shd w:val="clear" w:fill="F5F7F5"/>
            <w:shd w:val="clear" w:fill="F5F7F5"/>
          </w:tcPr>
          <w:p>
            <w:r/>
            <w:r>
              <w:rPr>
                <w:rFonts w:ascii="Calibri" w:hAnsi="Calibri"/>
                <w:b w:val="0"/>
                <w:color w:val="2B2B2B"/>
                <w:sz w:val="20"/>
              </w:rPr>
              <w:t>4</w:t>
            </w:r>
          </w:p>
        </w:tc>
        <w:tc>
          <w:tcPr>
            <w:tcW w:type="dxa" w:w="1632"/>
            <w:shd w:val="clear" w:fill="F5F7F5"/>
            <w:shd w:val="clear" w:fill="F5F7F5"/>
          </w:tcPr>
          <w:p>
            <w:r/>
            <w:r>
              <w:rPr>
                <w:rFonts w:ascii="Calibri" w:hAnsi="Calibri"/>
                <w:b w:val="0"/>
                <w:color w:val="2B2B2B"/>
                <w:sz w:val="20"/>
              </w:rPr>
              <w:t>Producción editorial</w:t>
            </w:r>
          </w:p>
        </w:tc>
        <w:tc>
          <w:tcPr>
            <w:tcW w:type="dxa" w:w="1632"/>
            <w:shd w:val="clear" w:fill="F5F7F5"/>
            <w:shd w:val="clear" w:fill="F5F7F5"/>
          </w:tcPr>
          <w:p>
            <w:r/>
            <w:r>
              <w:rPr>
                <w:rFonts w:ascii="Calibri" w:hAnsi="Calibri"/>
                <w:b w:val="0"/>
                <w:color w:val="2B2B2B"/>
                <w:sz w:val="20"/>
              </w:rPr>
              <w:t>Diseño gráfico y diagramación de la cartilla de apropiación social en lenguaje no técnico</w:t>
            </w:r>
          </w:p>
        </w:tc>
        <w:tc>
          <w:tcPr>
            <w:tcW w:type="dxa" w:w="1632"/>
            <w:shd w:val="clear" w:fill="F5F7F5"/>
            <w:shd w:val="clear" w:fill="F5F7F5"/>
          </w:tcPr>
          <w:p>
            <w:r/>
            <w:r>
              <w:rPr>
                <w:rFonts w:ascii="Calibri" w:hAnsi="Calibri"/>
                <w:b w:val="0"/>
                <w:color w:val="2B2B2B"/>
                <w:sz w:val="20"/>
              </w:rPr>
              <w:t>1</w:t>
            </w:r>
          </w:p>
        </w:tc>
        <w:tc>
          <w:tcPr>
            <w:tcW w:type="dxa" w:w="1632"/>
            <w:shd w:val="clear" w:fill="F5F7F5"/>
            <w:shd w:val="clear" w:fill="F5F7F5"/>
          </w:tcPr>
          <w:p>
            <w:r/>
            <w:r>
              <w:rPr>
                <w:rFonts w:ascii="Calibri" w:hAnsi="Calibri"/>
                <w:b w:val="0"/>
                <w:color w:val="2B2B2B"/>
                <w:sz w:val="20"/>
              </w:rPr>
              <w:t>700.000</w:t>
            </w:r>
          </w:p>
        </w:tc>
        <w:tc>
          <w:tcPr>
            <w:tcW w:type="dxa" w:w="1632"/>
            <w:shd w:val="clear" w:fill="F5F7F5"/>
            <w:shd w:val="clear" w:fill="F5F7F5"/>
          </w:tcPr>
          <w:p>
            <w:r/>
            <w:r>
              <w:rPr>
                <w:rFonts w:ascii="Calibri" w:hAnsi="Calibri"/>
                <w:b w:val="0"/>
                <w:color w:val="2B2B2B"/>
                <w:sz w:val="20"/>
              </w:rPr>
              <w:t>700.000</w:t>
            </w:r>
          </w:p>
        </w:tc>
      </w:tr>
      <w:tr>
        <w:tc>
          <w:tcPr>
            <w:tcW w:type="dxa" w:w="1632"/>
          </w:tcPr>
          <w:p>
            <w:r/>
            <w:r>
              <w:rPr>
                <w:rFonts w:ascii="Calibri" w:hAnsi="Calibri"/>
                <w:b w:val="0"/>
                <w:color w:val="2B2B2B"/>
                <w:sz w:val="20"/>
              </w:rPr>
              <w:t>5</w:t>
            </w:r>
          </w:p>
        </w:tc>
        <w:tc>
          <w:tcPr>
            <w:tcW w:type="dxa" w:w="1632"/>
          </w:tcPr>
          <w:p>
            <w:r/>
            <w:r>
              <w:rPr>
                <w:rFonts w:ascii="Calibri" w:hAnsi="Calibri"/>
                <w:b w:val="0"/>
                <w:color w:val="2B2B2B"/>
                <w:sz w:val="20"/>
              </w:rPr>
              <w:t>Impresión</w:t>
            </w:r>
          </w:p>
        </w:tc>
        <w:tc>
          <w:tcPr>
            <w:tcW w:type="dxa" w:w="1632"/>
          </w:tcPr>
          <w:p>
            <w:r/>
            <w:r>
              <w:rPr>
                <w:rFonts w:ascii="Calibri" w:hAnsi="Calibri"/>
                <w:b w:val="0"/>
                <w:color w:val="2B2B2B"/>
                <w:sz w:val="20"/>
              </w:rPr>
              <w:t>Impresión de la cartilla: 300 ejemplares para las organizaciones participantes, sus asociados y la unidad de Proyección Social</w:t>
            </w:r>
          </w:p>
        </w:tc>
        <w:tc>
          <w:tcPr>
            <w:tcW w:type="dxa" w:w="1632"/>
          </w:tcPr>
          <w:p>
            <w:r/>
            <w:r>
              <w:rPr>
                <w:rFonts w:ascii="Calibri" w:hAnsi="Calibri"/>
                <w:b w:val="0"/>
                <w:color w:val="2B2B2B"/>
                <w:sz w:val="20"/>
              </w:rPr>
              <w:t>300</w:t>
            </w:r>
          </w:p>
        </w:tc>
        <w:tc>
          <w:tcPr>
            <w:tcW w:type="dxa" w:w="1632"/>
          </w:tcPr>
          <w:p>
            <w:r/>
            <w:r>
              <w:rPr>
                <w:rFonts w:ascii="Calibri" w:hAnsi="Calibri"/>
                <w:b w:val="0"/>
                <w:color w:val="2B2B2B"/>
                <w:sz w:val="20"/>
              </w:rPr>
              <w:t>3.500</w:t>
            </w:r>
          </w:p>
        </w:tc>
        <w:tc>
          <w:tcPr>
            <w:tcW w:type="dxa" w:w="1632"/>
          </w:tcPr>
          <w:p>
            <w:r/>
            <w:r>
              <w:rPr>
                <w:rFonts w:ascii="Calibri" w:hAnsi="Calibri"/>
                <w:b w:val="0"/>
                <w:color w:val="2B2B2B"/>
                <w:sz w:val="20"/>
              </w:rPr>
              <w:t>1.050.000</w:t>
            </w:r>
          </w:p>
        </w:tc>
      </w:tr>
      <w:tr>
        <w:tc>
          <w:tcPr>
            <w:tcW w:type="dxa" w:w="1632"/>
            <w:shd w:val="clear" w:fill="F5F7F5"/>
            <w:shd w:val="clear" w:fill="F5F7F5"/>
          </w:tcPr>
          <w:p>
            <w:r/>
            <w:r>
              <w:rPr>
                <w:rFonts w:ascii="Calibri" w:hAnsi="Calibri"/>
                <w:b w:val="0"/>
                <w:color w:val="2B2B2B"/>
                <w:sz w:val="20"/>
              </w:rPr>
              <w:t>6</w:t>
            </w:r>
          </w:p>
        </w:tc>
        <w:tc>
          <w:tcPr>
            <w:tcW w:type="dxa" w:w="1632"/>
            <w:shd w:val="clear" w:fill="F5F7F5"/>
            <w:shd w:val="clear" w:fill="F5F7F5"/>
          </w:tcPr>
          <w:p>
            <w:r/>
            <w:r>
              <w:rPr>
                <w:rFonts w:ascii="Calibri" w:hAnsi="Calibri"/>
                <w:b w:val="0"/>
                <w:color w:val="2B2B2B"/>
                <w:sz w:val="20"/>
              </w:rPr>
              <w:t>Servicios digitales</w:t>
            </w:r>
          </w:p>
        </w:tc>
        <w:tc>
          <w:tcPr>
            <w:tcW w:type="dxa" w:w="1632"/>
            <w:shd w:val="clear" w:fill="F5F7F5"/>
            <w:shd w:val="clear" w:fill="F5F7F5"/>
          </w:tcPr>
          <w:p>
            <w:r/>
            <w:r>
              <w:rPr>
                <w:rFonts w:ascii="Calibri" w:hAnsi="Calibri"/>
                <w:b w:val="0"/>
                <w:color w:val="2B2B2B"/>
                <w:sz w:val="20"/>
              </w:rPr>
              <w:t>Plan de asistente de IA generativa (Claude, Anthropic) para la síntesis normativa comparada y la codificación asistida de respuestas abiertas, 3 meses</w:t>
            </w:r>
          </w:p>
        </w:tc>
        <w:tc>
          <w:tcPr>
            <w:tcW w:type="dxa" w:w="1632"/>
            <w:shd w:val="clear" w:fill="F5F7F5"/>
            <w:shd w:val="clear" w:fill="F5F7F5"/>
          </w:tcPr>
          <w:p>
            <w:r/>
            <w:r>
              <w:rPr>
                <w:rFonts w:ascii="Calibri" w:hAnsi="Calibri"/>
                <w:b w:val="0"/>
                <w:color w:val="2B2B2B"/>
                <w:sz w:val="20"/>
              </w:rPr>
              <w:t>3</w:t>
            </w:r>
          </w:p>
        </w:tc>
        <w:tc>
          <w:tcPr>
            <w:tcW w:type="dxa" w:w="1632"/>
            <w:shd w:val="clear" w:fill="F5F7F5"/>
            <w:shd w:val="clear" w:fill="F5F7F5"/>
          </w:tcPr>
          <w:p>
            <w:r/>
            <w:r>
              <w:rPr>
                <w:rFonts w:ascii="Calibri" w:hAnsi="Calibri"/>
                <w:b w:val="0"/>
                <w:color w:val="2B2B2B"/>
                <w:sz w:val="20"/>
              </w:rPr>
              <w:t>90.000</w:t>
            </w:r>
          </w:p>
        </w:tc>
        <w:tc>
          <w:tcPr>
            <w:tcW w:type="dxa" w:w="1632"/>
            <w:shd w:val="clear" w:fill="F5F7F5"/>
            <w:shd w:val="clear" w:fill="F5F7F5"/>
          </w:tcPr>
          <w:p>
            <w:r/>
            <w:r>
              <w:rPr>
                <w:rFonts w:ascii="Calibri" w:hAnsi="Calibri"/>
                <w:b w:val="0"/>
                <w:color w:val="2B2B2B"/>
                <w:sz w:val="20"/>
              </w:rPr>
              <w:t>270.000</w:t>
            </w:r>
          </w:p>
        </w:tc>
      </w:tr>
      <w:tr>
        <w:tc>
          <w:tcPr>
            <w:tcW w:type="dxa" w:w="1632"/>
          </w:tcPr>
          <w:p>
            <w:r/>
            <w:r>
              <w:rPr>
                <w:rFonts w:ascii="Calibri" w:hAnsi="Calibri"/>
                <w:b w:val="0"/>
                <w:color w:val="2B2B2B"/>
                <w:sz w:val="20"/>
              </w:rPr>
              <w:t>7</w:t>
            </w:r>
          </w:p>
        </w:tc>
        <w:tc>
          <w:tcPr>
            <w:tcW w:type="dxa" w:w="1632"/>
          </w:tcPr>
          <w:p>
            <w:r/>
            <w:r>
              <w:rPr>
                <w:rFonts w:ascii="Calibri" w:hAnsi="Calibri"/>
                <w:b w:val="0"/>
                <w:color w:val="2B2B2B"/>
                <w:sz w:val="20"/>
              </w:rPr>
              <w:t>Servicios digitales</w:t>
            </w:r>
          </w:p>
        </w:tc>
        <w:tc>
          <w:tcPr>
            <w:tcW w:type="dxa" w:w="1632"/>
          </w:tcPr>
          <w:p>
            <w:r/>
            <w:r>
              <w:rPr>
                <w:rFonts w:ascii="Calibri" w:hAnsi="Calibri"/>
                <w:b w:val="0"/>
                <w:color w:val="2B2B2B"/>
                <w:sz w:val="20"/>
              </w:rPr>
              <w:t>Transcripción automática de las entrevistas semiestructuradas, con revisión manual del investigador</w:t>
            </w:r>
          </w:p>
        </w:tc>
        <w:tc>
          <w:tcPr>
            <w:tcW w:type="dxa" w:w="1632"/>
          </w:tcPr>
          <w:p>
            <w:r/>
            <w:r>
              <w:rPr>
                <w:rFonts w:ascii="Calibri" w:hAnsi="Calibri"/>
                <w:b w:val="0"/>
                <w:color w:val="2B2B2B"/>
                <w:sz w:val="20"/>
              </w:rPr>
              <w:t>1</w:t>
            </w:r>
          </w:p>
        </w:tc>
        <w:tc>
          <w:tcPr>
            <w:tcW w:type="dxa" w:w="1632"/>
          </w:tcPr>
          <w:p>
            <w:r/>
            <w:r>
              <w:rPr>
                <w:rFonts w:ascii="Calibri" w:hAnsi="Calibri"/>
                <w:b w:val="0"/>
                <w:color w:val="2B2B2B"/>
                <w:sz w:val="20"/>
              </w:rPr>
              <w:t>180.000</w:t>
            </w:r>
          </w:p>
        </w:tc>
        <w:tc>
          <w:tcPr>
            <w:tcW w:type="dxa" w:w="1632"/>
          </w:tcPr>
          <w:p>
            <w:r/>
            <w:r>
              <w:rPr>
                <w:rFonts w:ascii="Calibri" w:hAnsi="Calibri"/>
                <w:b w:val="0"/>
                <w:color w:val="2B2B2B"/>
                <w:sz w:val="20"/>
              </w:rPr>
              <w:t>180.000</w:t>
            </w:r>
          </w:p>
        </w:tc>
      </w:tr>
      <w:tr>
        <w:tc>
          <w:tcPr>
            <w:tcW w:type="dxa" w:w="1632"/>
            <w:shd w:val="clear" w:fill="F5F7F5"/>
            <w:shd w:val="clear" w:fill="F5F7F5"/>
          </w:tcPr>
          <w:p>
            <w:r/>
            <w:r>
              <w:rPr>
                <w:rFonts w:ascii="Calibri" w:hAnsi="Calibri"/>
                <w:b w:val="0"/>
                <w:color w:val="2B2B2B"/>
                <w:sz w:val="20"/>
              </w:rPr>
              <w:t>8</w:t>
            </w:r>
          </w:p>
        </w:tc>
        <w:tc>
          <w:tcPr>
            <w:tcW w:type="dxa" w:w="1632"/>
            <w:shd w:val="clear" w:fill="F5F7F5"/>
            <w:shd w:val="clear" w:fill="F5F7F5"/>
          </w:tcPr>
          <w:p>
            <w:r/>
            <w:r>
              <w:rPr>
                <w:rFonts w:ascii="Calibri" w:hAnsi="Calibri"/>
                <w:b w:val="0"/>
                <w:color w:val="2B2B2B"/>
                <w:sz w:val="20"/>
              </w:rPr>
              <w:t>Servicios digitales</w:t>
            </w:r>
          </w:p>
        </w:tc>
        <w:tc>
          <w:tcPr>
            <w:tcW w:type="dxa" w:w="1632"/>
            <w:shd w:val="clear" w:fill="F5F7F5"/>
            <w:shd w:val="clear" w:fill="F5F7F5"/>
          </w:tcPr>
          <w:p>
            <w:r/>
            <w:r>
              <w:rPr>
                <w:rFonts w:ascii="Calibri" w:hAnsi="Calibri"/>
                <w:b w:val="0"/>
                <w:color w:val="2B2B2B"/>
                <w:sz w:val="20"/>
              </w:rPr>
              <w:t>Almacenamiento cifrado y respaldo versionado de los datos de investigación y de los registros anonimizados durante la ejecución (3 meses)</w:t>
            </w:r>
          </w:p>
        </w:tc>
        <w:tc>
          <w:tcPr>
            <w:tcW w:type="dxa" w:w="1632"/>
            <w:shd w:val="clear" w:fill="F5F7F5"/>
            <w:shd w:val="clear" w:fill="F5F7F5"/>
          </w:tcPr>
          <w:p>
            <w:r/>
            <w:r>
              <w:rPr>
                <w:rFonts w:ascii="Calibri" w:hAnsi="Calibri"/>
                <w:b w:val="0"/>
                <w:color w:val="2B2B2B"/>
                <w:sz w:val="20"/>
              </w:rPr>
              <w:t>1</w:t>
            </w:r>
          </w:p>
        </w:tc>
        <w:tc>
          <w:tcPr>
            <w:tcW w:type="dxa" w:w="1632"/>
            <w:shd w:val="clear" w:fill="F5F7F5"/>
            <w:shd w:val="clear" w:fill="F5F7F5"/>
          </w:tcPr>
          <w:p>
            <w:r/>
            <w:r>
              <w:rPr>
                <w:rFonts w:ascii="Calibri" w:hAnsi="Calibri"/>
                <w:b w:val="0"/>
                <w:color w:val="2B2B2B"/>
                <w:sz w:val="20"/>
              </w:rPr>
              <w:t>120.000</w:t>
            </w:r>
          </w:p>
        </w:tc>
        <w:tc>
          <w:tcPr>
            <w:tcW w:type="dxa" w:w="1632"/>
            <w:shd w:val="clear" w:fill="F5F7F5"/>
            <w:shd w:val="clear" w:fill="F5F7F5"/>
          </w:tcPr>
          <w:p>
            <w:r/>
            <w:r>
              <w:rPr>
                <w:rFonts w:ascii="Calibri" w:hAnsi="Calibri"/>
                <w:b w:val="0"/>
                <w:color w:val="2B2B2B"/>
                <w:sz w:val="20"/>
              </w:rPr>
              <w:t>120.000</w:t>
            </w:r>
          </w:p>
        </w:tc>
      </w:tr>
      <w:tr>
        <w:tc>
          <w:tcPr>
            <w:tcW w:type="dxa" w:w="1632"/>
          </w:tcPr>
          <w:p>
            <w:r/>
            <w:r>
              <w:rPr>
                <w:rFonts w:ascii="Calibri" w:hAnsi="Calibri"/>
                <w:b w:val="0"/>
                <w:color w:val="2B2B2B"/>
                <w:sz w:val="20"/>
              </w:rPr>
              <w:t>9</w:t>
            </w:r>
          </w:p>
        </w:tc>
        <w:tc>
          <w:tcPr>
            <w:tcW w:type="dxa" w:w="1632"/>
          </w:tcPr>
          <w:p>
            <w:r/>
            <w:r>
              <w:rPr>
                <w:rFonts w:ascii="Calibri" w:hAnsi="Calibri"/>
                <w:b w:val="0"/>
                <w:color w:val="2B2B2B"/>
                <w:sz w:val="20"/>
              </w:rPr>
              <w:t>Divulgación</w:t>
            </w:r>
          </w:p>
        </w:tc>
        <w:tc>
          <w:tcPr>
            <w:tcW w:type="dxa" w:w="1632"/>
          </w:tcPr>
          <w:p>
            <w:r/>
            <w:r>
              <w:rPr>
                <w:rFonts w:ascii="Calibri" w:hAnsi="Calibri"/>
                <w:b w:val="0"/>
                <w:color w:val="2B2B2B"/>
                <w:sz w:val="20"/>
              </w:rPr>
              <w:t>Inscripción a evento académico nacional para la ponencia de resultados</w:t>
            </w:r>
          </w:p>
        </w:tc>
        <w:tc>
          <w:tcPr>
            <w:tcW w:type="dxa" w:w="1632"/>
          </w:tcPr>
          <w:p>
            <w:r/>
            <w:r>
              <w:rPr>
                <w:rFonts w:ascii="Calibri" w:hAnsi="Calibri"/>
                <w:b w:val="0"/>
                <w:color w:val="2B2B2B"/>
                <w:sz w:val="20"/>
              </w:rPr>
              <w:t>1</w:t>
            </w:r>
          </w:p>
        </w:tc>
        <w:tc>
          <w:tcPr>
            <w:tcW w:type="dxa" w:w="1632"/>
          </w:tcPr>
          <w:p>
            <w:r/>
            <w:r>
              <w:rPr>
                <w:rFonts w:ascii="Calibri" w:hAnsi="Calibri"/>
                <w:b w:val="0"/>
                <w:color w:val="2B2B2B"/>
                <w:sz w:val="20"/>
              </w:rPr>
              <w:t>450.000</w:t>
            </w:r>
          </w:p>
        </w:tc>
        <w:tc>
          <w:tcPr>
            <w:tcW w:type="dxa" w:w="1632"/>
          </w:tcPr>
          <w:p>
            <w:r/>
            <w:r>
              <w:rPr>
                <w:rFonts w:ascii="Calibri" w:hAnsi="Calibri"/>
                <w:b w:val="0"/>
                <w:color w:val="2B2B2B"/>
                <w:sz w:val="20"/>
              </w:rPr>
              <w:t>450.000</w:t>
            </w:r>
          </w:p>
        </w:tc>
      </w:tr>
      <w:tr>
        <w:tc>
          <w:tcPr>
            <w:tcW w:type="dxa" w:w="1632"/>
            <w:shd w:val="clear" w:fill="F5F7F5"/>
            <w:shd w:val="clear" w:fill="F5F7F5"/>
          </w:tcPr>
          <w:p>
            <w:r/>
            <w:r>
              <w:rPr>
                <w:rFonts w:ascii="Calibri" w:hAnsi="Calibri"/>
                <w:b w:val="0"/>
                <w:color w:val="2B2B2B"/>
                <w:sz w:val="20"/>
              </w:rPr>
              <w:t>10</w:t>
            </w:r>
          </w:p>
        </w:tc>
        <w:tc>
          <w:tcPr>
            <w:tcW w:type="dxa" w:w="1632"/>
            <w:shd w:val="clear" w:fill="F5F7F5"/>
            <w:shd w:val="clear" w:fill="F5F7F5"/>
          </w:tcPr>
          <w:p>
            <w:r/>
            <w:r>
              <w:rPr>
                <w:rFonts w:ascii="Calibri" w:hAnsi="Calibri"/>
                <w:b w:val="0"/>
                <w:color w:val="2B2B2B"/>
                <w:sz w:val="20"/>
              </w:rPr>
              <w:t>Logística de sesiones</w:t>
            </w:r>
          </w:p>
        </w:tc>
        <w:tc>
          <w:tcPr>
            <w:tcW w:type="dxa" w:w="1632"/>
            <w:shd w:val="clear" w:fill="F5F7F5"/>
            <w:shd w:val="clear" w:fill="F5F7F5"/>
          </w:tcPr>
          <w:p>
            <w:r/>
            <w:r>
              <w:rPr>
                <w:rFonts w:ascii="Calibri" w:hAnsi="Calibri"/>
                <w:b w:val="0"/>
                <w:color w:val="2B2B2B"/>
                <w:sz w:val="20"/>
              </w:rPr>
              <w:t>Sesión de validación del modelo y sesión de cierre con las organizaciones: espacio y refrigerio (2 sesiones)</w:t>
            </w:r>
          </w:p>
        </w:tc>
        <w:tc>
          <w:tcPr>
            <w:tcW w:type="dxa" w:w="1632"/>
            <w:shd w:val="clear" w:fill="F5F7F5"/>
            <w:shd w:val="clear" w:fill="F5F7F5"/>
          </w:tcPr>
          <w:p>
            <w:r/>
            <w:r>
              <w:rPr>
                <w:rFonts w:ascii="Calibri" w:hAnsi="Calibri"/>
                <w:b w:val="0"/>
                <w:color w:val="2B2B2B"/>
                <w:sz w:val="20"/>
              </w:rPr>
              <w:t>2</w:t>
            </w:r>
          </w:p>
        </w:tc>
        <w:tc>
          <w:tcPr>
            <w:tcW w:type="dxa" w:w="1632"/>
            <w:shd w:val="clear" w:fill="F5F7F5"/>
            <w:shd w:val="clear" w:fill="F5F7F5"/>
          </w:tcPr>
          <w:p>
            <w:r/>
            <w:r>
              <w:rPr>
                <w:rFonts w:ascii="Calibri" w:hAnsi="Calibri"/>
                <w:b w:val="0"/>
                <w:color w:val="2B2B2B"/>
                <w:sz w:val="20"/>
              </w:rPr>
              <w:t>90.000</w:t>
            </w:r>
          </w:p>
        </w:tc>
        <w:tc>
          <w:tcPr>
            <w:tcW w:type="dxa" w:w="1632"/>
            <w:shd w:val="clear" w:fill="F5F7F5"/>
            <w:shd w:val="clear" w:fill="F5F7F5"/>
          </w:tcPr>
          <w:p>
            <w:r/>
            <w:r>
              <w:rPr>
                <w:rFonts w:ascii="Calibri" w:hAnsi="Calibri"/>
                <w:b w:val="0"/>
                <w:color w:val="2B2B2B"/>
                <w:sz w:val="20"/>
              </w:rPr>
              <w:t>180.000</w:t>
            </w:r>
          </w:p>
        </w:tc>
      </w:tr>
      <w:tr>
        <w:tc>
          <w:tcPr>
            <w:tcW w:type="dxa" w:w="1632"/>
          </w:tcPr>
          <w:p>
            <w:r/>
            <w:r>
              <w:rPr>
                <w:rFonts w:ascii="Calibri" w:hAnsi="Calibri"/>
                <w:b w:val="0"/>
                <w:color w:val="2B2B2B"/>
                <w:sz w:val="20"/>
              </w:rPr>
              <w:t>11</w:t>
            </w:r>
          </w:p>
        </w:tc>
        <w:tc>
          <w:tcPr>
            <w:tcW w:type="dxa" w:w="1632"/>
          </w:tcPr>
          <w:p>
            <w:r/>
            <w:r>
              <w:rPr>
                <w:rFonts w:ascii="Calibri" w:hAnsi="Calibri"/>
                <w:b w:val="0"/>
                <w:color w:val="2B2B2B"/>
                <w:sz w:val="20"/>
              </w:rPr>
              <w:t>Imprevistos</w:t>
            </w:r>
          </w:p>
        </w:tc>
        <w:tc>
          <w:tcPr>
            <w:tcW w:type="dxa" w:w="1632"/>
          </w:tcPr>
          <w:p>
            <w:r/>
            <w:r>
              <w:rPr>
                <w:rFonts w:ascii="Calibri" w:hAnsi="Calibri"/>
                <w:b w:val="0"/>
                <w:color w:val="2B2B2B"/>
                <w:sz w:val="20"/>
              </w:rPr>
              <w:t>Contingencia sobre el subtotal (6,18 %), destinada en primer lugar a trayectos adicionales si el número de organizaciones llega a cinco</w:t>
            </w:r>
          </w:p>
        </w:tc>
        <w:tc>
          <w:tcPr>
            <w:tcW w:type="dxa" w:w="1632"/>
          </w:tcPr>
          <w:p>
            <w:r/>
            <w:r>
              <w:rPr>
                <w:rFonts w:ascii="Calibri" w:hAnsi="Calibri"/>
                <w:b w:val="0"/>
                <w:color w:val="2B2B2B"/>
                <w:sz w:val="20"/>
              </w:rPr>
              <w:t>1</w:t>
            </w:r>
          </w:p>
        </w:tc>
        <w:tc>
          <w:tcPr>
            <w:tcW w:type="dxa" w:w="1632"/>
          </w:tcPr>
          <w:p>
            <w:r/>
            <w:r>
              <w:rPr>
                <w:rFonts w:ascii="Calibri" w:hAnsi="Calibri"/>
                <w:b w:val="0"/>
                <w:color w:val="2B2B2B"/>
                <w:sz w:val="20"/>
              </w:rPr>
              <w:t>290.000</w:t>
            </w:r>
          </w:p>
        </w:tc>
        <w:tc>
          <w:tcPr>
            <w:tcW w:type="dxa" w:w="1632"/>
          </w:tcPr>
          <w:p>
            <w:r/>
            <w:r>
              <w:rPr>
                <w:rFonts w:ascii="Calibri" w:hAnsi="Calibri"/>
                <w:b w:val="0"/>
                <w:color w:val="2B2B2B"/>
                <w:sz w:val="20"/>
              </w:rPr>
              <w:t>290.000</w:t>
            </w:r>
          </w:p>
        </w:tc>
      </w:tr>
      <w:tr>
        <w:tc>
          <w:tcPr>
            <w:tcW w:type="dxa" w:w="1632"/>
            <w:shd w:val="clear" w:fill="F5F7F5"/>
            <w:shd w:val="clear" w:fill="F5F7F5"/>
          </w:tcPr>
          <w:p>
            <w:r/>
          </w:p>
        </w:tc>
        <w:tc>
          <w:tcPr>
            <w:tcW w:type="dxa" w:w="1632"/>
            <w:shd w:val="clear" w:fill="F5F7F5"/>
            <w:shd w:val="clear" w:fill="F5F7F5"/>
          </w:tcPr>
          <w:p>
            <w:r/>
            <w:r>
              <w:rPr>
                <w:rFonts w:ascii="Calibri" w:hAnsi="Calibri"/>
                <w:b/>
                <w:color w:val="2B2B2B"/>
                <w:sz w:val="20"/>
              </w:rPr>
              <w:t>TOTAL</w:t>
            </w:r>
          </w:p>
        </w:tc>
        <w:tc>
          <w:tcPr>
            <w:tcW w:type="dxa" w:w="1632"/>
            <w:shd w:val="clear" w:fill="F5F7F5"/>
            <w:shd w:val="clear" w:fill="F5F7F5"/>
          </w:tcPr>
          <w:p>
            <w:r/>
          </w:p>
        </w:tc>
        <w:tc>
          <w:tcPr>
            <w:tcW w:type="dxa" w:w="1632"/>
            <w:shd w:val="clear" w:fill="F5F7F5"/>
            <w:shd w:val="clear" w:fill="F5F7F5"/>
          </w:tcPr>
          <w:p>
            <w:r/>
          </w:p>
        </w:tc>
        <w:tc>
          <w:tcPr>
            <w:tcW w:type="dxa" w:w="1632"/>
            <w:shd w:val="clear" w:fill="F5F7F5"/>
            <w:shd w:val="clear" w:fill="F5F7F5"/>
          </w:tcPr>
          <w:p>
            <w:r/>
          </w:p>
        </w:tc>
        <w:tc>
          <w:tcPr>
            <w:tcW w:type="dxa" w:w="1632"/>
            <w:shd w:val="clear" w:fill="F5F7F5"/>
            <w:shd w:val="clear" w:fill="F5F7F5"/>
          </w:tcPr>
          <w:p>
            <w:r/>
            <w:r>
              <w:rPr>
                <w:rFonts w:ascii="Calibri" w:hAnsi="Calibri"/>
                <w:b/>
                <w:color w:val="2B2B2B"/>
                <w:sz w:val="20"/>
              </w:rPr>
              <w:t>4.980.000</w:t>
            </w:r>
          </w:p>
        </w:tc>
      </w:tr>
    </w:tbl>
    <w:p/>
    <w:p>
      <w:r>
        <w:rPr>
          <w:rFonts w:ascii="Calibri" w:hAnsi="Calibri"/>
          <w:b/>
          <w:color w:val="2B2B2B"/>
          <w:sz w:val="22"/>
        </w:rPr>
        <w:t>Verificación aritmética, línea por línea.</w:t>
      </w:r>
      <w:r>
        <w:rPr>
          <w:rFonts w:ascii="Calibri" w:hAnsi="Calibri"/>
          <w:b w:val="0"/>
          <w:color w:val="2B2B2B"/>
          <w:sz w:val="22"/>
        </w:rPr>
        <w:t xml:space="preserve"> 1 × 900.000 = 900.000 · 30 × 22.000 = 660.000 ·</w:t>
      </w:r>
    </w:p>
    <w:p>
      <w:r>
        <w:rPr>
          <w:rFonts w:ascii="Calibri" w:hAnsi="Calibri"/>
          <w:b w:val="0"/>
          <w:color w:val="2B2B2B"/>
          <w:sz w:val="22"/>
        </w:rPr>
        <w:t>1 × 180.000 = 180.000 · 1 × 700.000 = 700.000 · 300 × 3.500 = 1.050.000 · 3 × 90.000 = 270.000 ·</w:t>
      </w:r>
    </w:p>
    <w:p>
      <w:r>
        <w:rPr>
          <w:rFonts w:ascii="Calibri" w:hAnsi="Calibri"/>
          <w:b w:val="0"/>
          <w:color w:val="2B2B2B"/>
          <w:sz w:val="22"/>
        </w:rPr>
        <w:t>1 × 180.000 = 180.000 · 1 × 120.000 = 120.000 · 1 × 450.000 = 450.000 · 2 × 90.000 = 180.000 ·</w:t>
      </w:r>
    </w:p>
    <w:p>
      <w:r>
        <w:rPr>
          <w:rFonts w:ascii="Calibri" w:hAnsi="Calibri"/>
          <w:b w:val="0"/>
          <w:color w:val="2B2B2B"/>
          <w:sz w:val="22"/>
        </w:rPr>
        <w:t xml:space="preserve">1 × 290.000 = 290.000. </w:t>
      </w:r>
      <w:r>
        <w:rPr>
          <w:rFonts w:ascii="Calibri" w:hAnsi="Calibri"/>
          <w:b/>
          <w:color w:val="2B2B2B"/>
          <w:sz w:val="22"/>
        </w:rPr>
        <w:t>Subtotal sin imprevistos:</w:t>
      </w:r>
      <w:r>
        <w:rPr>
          <w:rFonts w:ascii="Calibri" w:hAnsi="Calibri"/>
          <w:b w:val="0"/>
          <w:color w:val="2B2B2B"/>
          <w:sz w:val="22"/>
        </w:rPr>
        <w:t xml:space="preserve"> 900.000 + 660.000 + 180.000 + 700.000 + 1.050.000 +</w:t>
      </w:r>
    </w:p>
    <w:p>
      <w:r>
        <w:rPr>
          <w:rFonts w:ascii="Calibri" w:hAnsi="Calibri"/>
          <w:b w:val="0"/>
          <w:color w:val="2B2B2B"/>
          <w:sz w:val="22"/>
        </w:rPr>
        <w:t xml:space="preserve">270.000 + 180.000 + 120.000 + 450.000 + 180.000 = </w:t>
      </w:r>
      <w:r>
        <w:rPr>
          <w:rFonts w:ascii="Calibri" w:hAnsi="Calibri"/>
          <w:b/>
          <w:color w:val="2B2B2B"/>
          <w:sz w:val="22"/>
        </w:rPr>
        <w:t>4.690.000</w:t>
      </w:r>
      <w:r>
        <w:rPr>
          <w:rFonts w:ascii="Calibri" w:hAnsi="Calibri"/>
          <w:b w:val="0"/>
          <w:color w:val="2B2B2B"/>
          <w:sz w:val="22"/>
        </w:rPr>
        <w:t>. Imprevistos 290.000, equivalentes al</w:t>
      </w:r>
    </w:p>
    <w:p>
      <w:r>
        <w:rPr>
          <w:rFonts w:ascii="Calibri" w:hAnsi="Calibri"/>
          <w:b/>
          <w:color w:val="2B2B2B"/>
          <w:sz w:val="22"/>
        </w:rPr>
        <w:t>6,18 %</w:t>
      </w:r>
      <w:r>
        <w:rPr>
          <w:rFonts w:ascii="Calibri" w:hAnsi="Calibri"/>
          <w:b w:val="0"/>
          <w:color w:val="2B2B2B"/>
          <w:sz w:val="22"/>
        </w:rPr>
        <w:t xml:space="preserve"> de ese subtotal. </w:t>
      </w:r>
      <w:r>
        <w:rPr>
          <w:rFonts w:ascii="Calibri" w:hAnsi="Calibri"/>
          <w:b/>
          <w:color w:val="2B2B2B"/>
          <w:sz w:val="22"/>
        </w:rPr>
        <w:t>Total: 4.690.000 + 290.000 = 4.980.000 COP</w:t>
      </w:r>
      <w:r>
        <w:rPr>
          <w:rFonts w:ascii="Calibri" w:hAnsi="Calibri"/>
          <w:b w:val="0"/>
          <w:color w:val="2B2B2B"/>
          <w:sz w:val="22"/>
        </w:rPr>
        <w:t>, que es exactamente el monto</w:t>
      </w:r>
    </w:p>
    <w:p>
      <w:r>
        <w:rPr>
          <w:rFonts w:ascii="Calibri" w:hAnsi="Calibri"/>
          <w:b w:val="0"/>
          <w:color w:val="2B2B2B"/>
          <w:sz w:val="22"/>
        </w:rPr>
        <w:t xml:space="preserve">declarado en la identificación de la propuesta y </w:t>
      </w:r>
      <w:r>
        <w:rPr>
          <w:rFonts w:ascii="Calibri" w:hAnsi="Calibri"/>
          <w:b/>
          <w:color w:val="2B2B2B"/>
          <w:sz w:val="22"/>
        </w:rPr>
        <w:t>$20.000 por debajo del techo</w:t>
      </w:r>
      <w:r>
        <w:rPr>
          <w:rFonts w:ascii="Calibri" w:hAnsi="Calibri"/>
          <w:b w:val="0"/>
          <w:color w:val="2B2B2B"/>
          <w:sz w:val="22"/>
        </w:rPr>
        <w:t xml:space="preserve"> del numeral 8.</w:t>
      </w:r>
    </w:p>
    <w:p>
      <w:r>
        <w:rPr>
          <w:rFonts w:ascii="Calibri" w:hAnsi="Calibri"/>
          <w:b/>
          <w:color w:val="2B2B2B"/>
          <w:sz w:val="22"/>
        </w:rPr>
        <w:t>Rubro de talento humano y su riesgo — remite al pendiente 8.</w:t>
      </w:r>
      <w:r>
        <w:rPr>
          <w:rFonts w:ascii="Calibri" w:hAnsi="Calibri"/>
          <w:b w:val="0"/>
          <w:color w:val="2B2B2B"/>
          <w:sz w:val="22"/>
        </w:rPr>
        <w:t xml:space="preserve"> El rubro 1 representa **$900.000, el</w:t>
      </w:r>
    </w:p>
    <w:p>
      <w:r>
        <w:rPr>
          <w:rFonts w:ascii="Calibri" w:hAnsi="Calibri"/>
          <w:b w:val="0"/>
          <w:color w:val="2B2B2B"/>
          <w:sz w:val="22"/>
        </w:rPr>
        <w:t>18,1 % del total solicitado</w:t>
      </w:r>
      <w:r>
        <w:rPr>
          <w:rFonts w:ascii="Calibri" w:hAnsi="Calibri"/>
          <w:b/>
          <w:color w:val="2B2B2B"/>
          <w:sz w:val="22"/>
        </w:rPr>
        <w:t xml:space="preserve">, y </w:t>
      </w:r>
      <w:r>
        <w:rPr>
          <w:rFonts w:ascii="Calibri" w:hAnsi="Calibri"/>
          <w:b w:val="0"/>
          <w:color w:val="2B2B2B"/>
          <w:sz w:val="22"/>
        </w:rPr>
        <w:t>no ha podido verificarse contra la tabla de rubros financiables y no</w:t>
      </w:r>
    </w:p>
    <w:p>
      <w:r>
        <w:rPr>
          <w:rFonts w:ascii="Calibri" w:hAnsi="Calibri"/>
          <w:b w:val="0"/>
          <w:color w:val="2B2B2B"/>
          <w:sz w:val="22"/>
        </w:rPr>
        <w:t>financiables del numeral 6 de los Términos de Referencia, porque esa tabla está incrustada como imagen en</w:t>
      </w:r>
    </w:p>
    <w:p>
      <w:r>
        <w:rPr>
          <w:rFonts w:ascii="Calibri" w:hAnsi="Calibri"/>
          <w:b w:val="0"/>
          <w:color w:val="2B2B2B"/>
          <w:sz w:val="22"/>
        </w:rPr>
        <w:t>el PDF y no se puede extraer ni leer**. Por tanto no se afirma que una bonificación a un auxiliar de</w:t>
      </w:r>
    </w:p>
    <w:p>
      <w:r>
        <w:rPr>
          <w:rFonts w:ascii="Calibri" w:hAnsi="Calibri"/>
          <w:b w:val="0"/>
          <w:color w:val="2B2B2B"/>
          <w:sz w:val="22"/>
        </w:rPr>
        <w:t xml:space="preserve">investigación estudiante sea financiable: se declara como </w:t>
      </w:r>
      <w:r>
        <w:rPr>
          <w:rFonts w:ascii="Calibri" w:hAnsi="Calibri"/>
          <w:b/>
          <w:color w:val="2B2B2B"/>
          <w:sz w:val="22"/>
        </w:rPr>
        <w:t>no verificado</w:t>
      </w:r>
      <w:r>
        <w:rPr>
          <w:rFonts w:ascii="Calibri" w:hAnsi="Calibri"/>
          <w:b w:val="0"/>
          <w:color w:val="2B2B2B"/>
          <w:sz w:val="22"/>
        </w:rPr>
        <w:t>, con el 18,1 % del</w:t>
      </w:r>
    </w:p>
    <w:p>
      <w:r>
        <w:rPr>
          <w:rFonts w:ascii="Calibri" w:hAnsi="Calibri"/>
          <w:b w:val="0"/>
          <w:color w:val="2B2B2B"/>
          <w:sz w:val="22"/>
        </w:rPr>
        <w:t>presupuesto expuesto a reclasificación o rechazo, y se consulta a la DNI antes de radicar. **Plan de</w:t>
      </w:r>
    </w:p>
    <w:p>
      <w:r>
        <w:rPr>
          <w:rFonts w:ascii="Calibri" w:hAnsi="Calibri"/>
          <w:b w:val="0"/>
          <w:color w:val="2B2B2B"/>
          <w:sz w:val="22"/>
        </w:rPr>
        <w:t>reemplazo, escrito por adelantado:** si el rubro no es financiable, el auxiliar se vincula por</w:t>
      </w:r>
    </w:p>
    <w:p>
      <w:r>
        <w:rPr>
          <w:rFonts w:ascii="Calibri" w:hAnsi="Calibri"/>
          <w:b w:val="0"/>
          <w:color w:val="2B2B2B"/>
          <w:sz w:val="22"/>
        </w:rPr>
        <w:t>certificación académica sin contraprestación económica —lo que obliga a **reducir a tres el número de</w:t>
      </w:r>
    </w:p>
    <w:p>
      <w:r>
        <w:rPr>
          <w:rFonts w:ascii="Calibri" w:hAnsi="Calibri"/>
          <w:b w:val="0"/>
          <w:color w:val="2B2B2B"/>
          <w:sz w:val="22"/>
        </w:rPr>
        <w:t>organizaciones diagnosticadas** para que su carga sea sostenible, porque el doble diagnóstico</w:t>
      </w:r>
    </w:p>
    <w:p>
      <w:r>
        <w:rPr>
          <w:rFonts w:ascii="Calibri" w:hAnsi="Calibri"/>
          <w:b w:val="0"/>
          <w:color w:val="2B2B2B"/>
          <w:sz w:val="22"/>
        </w:rPr>
        <w:t>independiente no es un extra que se pueda recortar sin perder H1 y el reporte de fiabilidad— y los</w:t>
      </w:r>
    </w:p>
    <w:p>
      <w:r>
        <w:rPr>
          <w:rFonts w:ascii="Calibri" w:hAnsi="Calibri"/>
          <w:b w:val="0"/>
          <w:color w:val="2B2B2B"/>
          <w:sz w:val="22"/>
        </w:rPr>
        <w:t>$900.000 se reasignan a impresión de la cartilla y a trayectos, sin superar el techo. Ninguna otra</w:t>
      </w:r>
    </w:p>
    <w:p>
      <w:r>
        <w:rPr>
          <w:rFonts w:ascii="Calibri" w:hAnsi="Calibri"/>
          <w:b w:val="0"/>
          <w:color w:val="2B2B2B"/>
          <w:sz w:val="22"/>
        </w:rPr>
        <w:t>partida de la tabla es talento humano: **los tres expertos del juicio de contenido participan sin</w:t>
      </w:r>
    </w:p>
    <w:p>
      <w:r>
        <w:rPr>
          <w:rFonts w:ascii="Calibri" w:hAnsi="Calibri"/>
          <w:b w:val="0"/>
          <w:color w:val="2B2B2B"/>
          <w:sz w:val="22"/>
        </w:rPr>
        <w:t>contraprestación económica**, como pares académicos, precisamente para no ampliar la exposición de este</w:t>
      </w:r>
    </w:p>
    <w:p>
      <w:r>
        <w:rPr>
          <w:rFonts w:ascii="Calibri" w:hAnsi="Calibri"/>
          <w:b w:val="0"/>
          <w:color w:val="2B2B2B"/>
          <w:sz w:val="22"/>
        </w:rPr>
        <w:t>rubro ni introducir un incentivo que comprometa su juicio.</w:t>
      </w:r>
    </w:p>
    <w:p>
      <w:r>
        <w:rPr>
          <w:rFonts w:ascii="Calibri" w:hAnsi="Calibri"/>
          <w:b/>
          <w:color w:val="2B2B2B"/>
          <w:sz w:val="22"/>
        </w:rPr>
        <w:t>Por qué el presupuesto se concentra en campo y en cartilla.</w:t>
      </w:r>
      <w:r>
        <w:rPr>
          <w:rFonts w:ascii="Calibri" w:hAnsi="Calibri"/>
          <w:b w:val="0"/>
          <w:color w:val="2B2B2B"/>
          <w:sz w:val="22"/>
        </w:rPr>
        <w:t xml:space="preserve"> El 35,1 % del total ($1.750.000) es</w:t>
      </w:r>
    </w:p>
    <w:p>
      <w:r>
        <w:rPr>
          <w:rFonts w:ascii="Calibri" w:hAnsi="Calibri"/>
          <w:b w:val="0"/>
          <w:color w:val="2B2B2B"/>
          <w:sz w:val="22"/>
        </w:rPr>
        <w:t>producción e impresión de la cartilla, y el 19,1 % ($950.000, rubros 2 y 11 en su destino previsto) es</w:t>
      </w:r>
    </w:p>
    <w:p>
      <w:r>
        <w:rPr>
          <w:rFonts w:ascii="Calibri" w:hAnsi="Calibri"/>
          <w:b w:val="0"/>
          <w:color w:val="2B2B2B"/>
          <w:sz w:val="22"/>
        </w:rPr>
        <w:t>trabajo de campo. Esa concentración corresponde al diseño: el diagnóstico exige visita presencial y el</w:t>
      </w:r>
    </w:p>
    <w:p>
      <w:r>
        <w:rPr>
          <w:rFonts w:ascii="Calibri" w:hAnsi="Calibri"/>
          <w:b w:val="0"/>
          <w:color w:val="2B2B2B"/>
          <w:sz w:val="22"/>
        </w:rPr>
        <w:t>único producto con costo unitario real es el que llega a los destinatarios. **No se solicita hardware, no</w:t>
      </w:r>
    </w:p>
    <w:p>
      <w:r>
        <w:rPr>
          <w:rFonts w:ascii="Calibri" w:hAnsi="Calibri"/>
          <w:b w:val="0"/>
          <w:color w:val="2B2B2B"/>
          <w:sz w:val="22"/>
        </w:rPr>
        <w:t>se solicitan licencias de seguridad comerciales y no se solicita desarrollo de software**: el prototipo se</w:t>
      </w:r>
    </w:p>
    <w:p>
      <w:r>
        <w:rPr>
          <w:rFonts w:ascii="Calibri" w:hAnsi="Calibri"/>
          <w:b w:val="0"/>
          <w:color w:val="2B2B2B"/>
          <w:sz w:val="22"/>
        </w:rPr>
        <w:t>construye con librerías de código abierto [21] sobre el equipo del investigador, coherentemente con la</w:t>
      </w:r>
    </w:p>
    <w:p>
      <w:r>
        <w:rPr>
          <w:rFonts w:ascii="Calibri" w:hAnsi="Calibri"/>
          <w:b w:val="0"/>
          <w:color w:val="2B2B2B"/>
          <w:sz w:val="22"/>
        </w:rPr>
        <w:t>decisión de no marcar "Desarrollo de Software" como tipo de propuesta. Si la DNI observara que la</w:t>
      </w:r>
    </w:p>
    <w:p>
      <w:r>
        <w:rPr>
          <w:rFonts w:ascii="Calibri" w:hAnsi="Calibri"/>
          <w:b w:val="0"/>
          <w:color w:val="2B2B2B"/>
          <w:sz w:val="22"/>
        </w:rPr>
        <w:t>solicitud debe agotar el techo, la ampliación defendible —y no de relleno— sería extender el diagnóstico</w:t>
      </w:r>
    </w:p>
    <w:p>
      <w:r>
        <w:rPr>
          <w:rFonts w:ascii="Calibri" w:hAnsi="Calibri"/>
          <w:b w:val="0"/>
          <w:color w:val="2B2B2B"/>
          <w:sz w:val="22"/>
        </w:rPr>
        <w:t>a organizaciones de otra regional con el costo de desplazamiento intersedes que ello implica; se presenta</w:t>
      </w:r>
    </w:p>
    <w:p>
      <w:r>
        <w:rPr>
          <w:rFonts w:ascii="Calibri" w:hAnsi="Calibri"/>
          <w:b w:val="0"/>
          <w:color w:val="2B2B2B"/>
          <w:sz w:val="22"/>
        </w:rPr>
        <w:t>como alternativa, no como solicitud, y exigiría revisar el alcance, que hoy excluye expresamente la</w:t>
      </w:r>
    </w:p>
    <w:p>
      <w:r>
        <w:rPr>
          <w:rFonts w:ascii="Calibri" w:hAnsi="Calibri"/>
          <w:b w:val="0"/>
          <w:color w:val="2B2B2B"/>
          <w:sz w:val="22"/>
        </w:rPr>
        <w:t>multisede.</w:t>
      </w:r>
    </w:p>
    <w:p>
      <w:r>
        <w:rPr>
          <w:rFonts w:ascii="Calibri" w:hAnsi="Calibri"/>
          <w:b w:val="0"/>
          <w:color w:val="2B2B2B"/>
          <w:sz w:val="22"/>
        </w:rPr>
        <w:t>*Nota:* la adquisición de servicios e insumos queda sujeta a la revisión y aval de la Vicerrectoría de</w:t>
      </w:r>
    </w:p>
    <w:p>
      <w:r>
        <w:rPr>
          <w:rFonts w:ascii="Calibri" w:hAnsi="Calibri"/>
          <w:b w:val="0"/>
          <w:color w:val="2B2B2B"/>
          <w:sz w:val="22"/>
        </w:rPr>
        <w:t>Gestión, la Vicerrectoría de Innovación, Investigación y Emprendimiento y el Comité de Ética de la</w:t>
      </w:r>
    </w:p>
    <w:p>
      <w:r>
        <w:rPr>
          <w:rFonts w:ascii="Calibri" w:hAnsi="Calibri"/>
          <w:b w:val="0"/>
          <w:color w:val="2B2B2B"/>
          <w:sz w:val="22"/>
        </w:rPr>
        <w:t>Investigación Institucional, según el numeral 6 de los Términos de Referencia.</w:t>
      </w:r>
    </w:p>
    <w:p>
      <w:pPr>
        <w:spacing w:before="200" w:after="60"/>
      </w:pPr>
      <w:r>
        <w:rPr>
          <w:rFonts w:ascii="Calibri" w:hAnsi="Calibri"/>
          <w:b/>
          <w:color w:val="007433"/>
          <w:sz w:val="32"/>
        </w:rPr>
        <w:t>Lista de referencias</w:t>
      </w:r>
    </w:p>
    <w:p>
      <w:r>
        <w:rPr>
          <w:rFonts w:ascii="Calibri" w:hAnsi="Calibri"/>
          <w:b w:val="0"/>
          <w:color w:val="2B2B2B"/>
          <w:sz w:val="22"/>
        </w:rPr>
        <w:t xml:space="preserve">Norma de citación </w:t>
      </w:r>
      <w:r>
        <w:rPr>
          <w:rFonts w:ascii="Calibri" w:hAnsi="Calibri"/>
          <w:b/>
          <w:color w:val="2B2B2B"/>
          <w:sz w:val="22"/>
        </w:rPr>
        <w:t>IEEE</w:t>
      </w:r>
      <w:r>
        <w:rPr>
          <w:rFonts w:ascii="Calibri" w:hAnsi="Calibri"/>
          <w:b w:val="0"/>
          <w:color w:val="2B2B2B"/>
          <w:sz w:val="22"/>
        </w:rPr>
        <w:t>, por corresponder a la Escuela de Ingenierías (numeral 11, criterio 2.f de los</w:t>
      </w:r>
    </w:p>
    <w:p>
      <w:r>
        <w:rPr>
          <w:rFonts w:ascii="Calibri" w:hAnsi="Calibri"/>
          <w:b w:val="0"/>
          <w:color w:val="2B2B2B"/>
          <w:sz w:val="22"/>
        </w:rPr>
        <w:t>Términos de Referencia). Numeración en orden de primera aparición en el cuerpo del documento. Las 25</w:t>
      </w:r>
    </w:p>
    <w:p>
      <w:r>
        <w:rPr>
          <w:rFonts w:ascii="Calibri" w:hAnsi="Calibri"/>
          <w:b w:val="0"/>
          <w:color w:val="2B2B2B"/>
          <w:sz w:val="22"/>
        </w:rPr>
        <w:t>entradas están citadas en el texto y todas las citas del texto figuran en esta lista.</w:t>
      </w:r>
    </w:p>
    <w:p>
      <w:r>
        <w:rPr>
          <w:rFonts w:ascii="Calibri" w:hAnsi="Calibri"/>
          <w:b w:val="0"/>
          <w:color w:val="2B2B2B"/>
          <w:sz w:val="22"/>
        </w:rPr>
        <w:t>[1] European Union Agency for Cybersecurity (ENISA), *Cybersecurity for SMEs: Challenges and</w:t>
      </w:r>
    </w:p>
    <w:p>
      <w:r>
        <w:rPr>
          <w:rFonts w:ascii="Calibri" w:hAnsi="Calibri"/>
          <w:b w:val="0"/>
          <w:color w:val="2B2B2B"/>
          <w:sz w:val="22"/>
        </w:rPr>
        <w:t>Recommendations*. Atenas, Grecia: ENISA, 2021.</w:t>
      </w:r>
    </w:p>
    <w:p>
      <w:r>
        <w:rPr>
          <w:rFonts w:ascii="Calibri" w:hAnsi="Calibri"/>
          <w:b w:val="0"/>
          <w:color w:val="2B2B2B"/>
          <w:sz w:val="22"/>
        </w:rPr>
        <w:t>[2] National Institute of Standards and Technology, *Framework for Improving Critical Infrastructure</w:t>
      </w:r>
    </w:p>
    <w:p>
      <w:r>
        <w:rPr>
          <w:rFonts w:ascii="Calibri" w:hAnsi="Calibri"/>
          <w:b w:val="0"/>
          <w:color w:val="2B2B2B"/>
          <w:sz w:val="22"/>
        </w:rPr>
        <w:t>Cybersecurity*, versión 1.1. Gaithersburg, MD, EE. UU.: NIST, 2018.</w:t>
      </w:r>
    </w:p>
    <w:p>
      <w:r>
        <w:rPr>
          <w:rFonts w:ascii="Calibri" w:hAnsi="Calibri"/>
          <w:b w:val="0"/>
          <w:color w:val="2B2B2B"/>
          <w:sz w:val="22"/>
        </w:rPr>
        <w:t>[3] Center for Internet Security, *CIS Critical Security Controls*, versión 8. East Greenbush, NY,</w:t>
      </w:r>
    </w:p>
    <w:p>
      <w:r>
        <w:rPr>
          <w:rFonts w:ascii="Calibri" w:hAnsi="Calibri"/>
          <w:b w:val="0"/>
          <w:color w:val="2B2B2B"/>
          <w:sz w:val="22"/>
        </w:rPr>
        <w:t>EE. UU.: CIS, 2021.</w:t>
      </w:r>
    </w:p>
    <w:p>
      <w:r>
        <w:rPr>
          <w:rFonts w:ascii="Calibri" w:hAnsi="Calibri"/>
          <w:b w:val="0"/>
          <w:color w:val="2B2B2B"/>
          <w:sz w:val="22"/>
        </w:rPr>
        <w:t>[4] International Organization for Standardization e International Electrotechnical Commission,</w:t>
      </w:r>
    </w:p>
    <w:p>
      <w:r>
        <w:rPr>
          <w:rFonts w:ascii="Calibri" w:hAnsi="Calibri"/>
          <w:b w:val="0"/>
          <w:color w:val="2B2B2B"/>
          <w:sz w:val="22"/>
        </w:rPr>
        <w:t>*ISO/IEC 27001:2022 — Information security, cybersecurity and privacy protection — Information security</w:t>
      </w:r>
    </w:p>
    <w:p>
      <w:r>
        <w:rPr>
          <w:rFonts w:ascii="Calibri" w:hAnsi="Calibri"/>
          <w:b w:val="0"/>
          <w:color w:val="2B2B2B"/>
          <w:sz w:val="22"/>
        </w:rPr>
        <w:t>management systems — Requirements*. Ginebra, Suiza: ISO, 2022.</w:t>
      </w:r>
    </w:p>
    <w:p>
      <w:r>
        <w:rPr>
          <w:rFonts w:ascii="Calibri" w:hAnsi="Calibri"/>
          <w:b w:val="0"/>
          <w:color w:val="2B2B2B"/>
          <w:sz w:val="22"/>
        </w:rPr>
        <w:t>[5] International Organization for Standardization e International Electrotechnical Commission,</w:t>
      </w:r>
    </w:p>
    <w:p>
      <w:r>
        <w:rPr>
          <w:rFonts w:ascii="Calibri" w:hAnsi="Calibri"/>
          <w:b w:val="0"/>
          <w:color w:val="2B2B2B"/>
          <w:sz w:val="22"/>
        </w:rPr>
        <w:t>*ISO/IEC 27002:2022 — Information security, cybersecurity and privacy protection — Information security</w:t>
      </w:r>
    </w:p>
    <w:p>
      <w:r>
        <w:rPr>
          <w:rFonts w:ascii="Calibri" w:hAnsi="Calibri"/>
          <w:b w:val="0"/>
          <w:color w:val="2B2B2B"/>
          <w:sz w:val="22"/>
        </w:rPr>
        <w:t>controls*. Ginebra, Suiza: ISO, 2022.</w:t>
      </w:r>
    </w:p>
    <w:p>
      <w:r>
        <w:rPr>
          <w:rFonts w:ascii="Calibri" w:hAnsi="Calibri"/>
          <w:b w:val="0"/>
          <w:color w:val="2B2B2B"/>
          <w:sz w:val="22"/>
        </w:rPr>
        <w:t>[6] Congreso de la República de Colombia, *Ley Estatutaria 1581 de 2012, por la cual se dictan</w:t>
      </w:r>
    </w:p>
    <w:p>
      <w:r>
        <w:rPr>
          <w:rFonts w:ascii="Calibri" w:hAnsi="Calibri"/>
          <w:b w:val="0"/>
          <w:color w:val="2B2B2B"/>
          <w:sz w:val="22"/>
        </w:rPr>
        <w:t>disposiciones generales para la protección de datos personales*. Bogotá, Colombia: Diario Oficial, 2012.</w:t>
      </w:r>
    </w:p>
    <w:p>
      <w:r>
        <w:rPr>
          <w:rFonts w:ascii="Calibri" w:hAnsi="Calibri"/>
          <w:b w:val="0"/>
          <w:color w:val="2B2B2B"/>
          <w:sz w:val="22"/>
        </w:rPr>
        <w:t>[7] Presidencia de la República de Colombia, *Decreto 1377 de 2013, por el cual se reglamenta</w:t>
      </w:r>
    </w:p>
    <w:p>
      <w:r>
        <w:rPr>
          <w:rFonts w:ascii="Calibri" w:hAnsi="Calibri"/>
          <w:b w:val="0"/>
          <w:color w:val="2B2B2B"/>
          <w:sz w:val="22"/>
        </w:rPr>
        <w:t>parcialmente la Ley 1581 de 2012*. Bogotá, Colombia: Diario Oficial, 2013.</w:t>
      </w:r>
    </w:p>
    <w:p>
      <w:r>
        <w:rPr>
          <w:rFonts w:ascii="Calibri" w:hAnsi="Calibri"/>
          <w:b w:val="0"/>
          <w:color w:val="2B2B2B"/>
          <w:sz w:val="22"/>
        </w:rPr>
        <w:t>[8] Congreso de la República de Colombia, *Ley 1273 de 2009, por medio de la cual se modifica el Código</w:t>
      </w:r>
    </w:p>
    <w:p>
      <w:r>
        <w:rPr>
          <w:rFonts w:ascii="Calibri" w:hAnsi="Calibri"/>
          <w:b w:val="0"/>
          <w:color w:val="2B2B2B"/>
          <w:sz w:val="22"/>
        </w:rPr>
        <w:t>Penal y se crea un nuevo bien jurídico tutelado denominado "de la protección de la información y de los</w:t>
      </w:r>
    </w:p>
    <w:p>
      <w:r>
        <w:rPr>
          <w:rFonts w:ascii="Calibri" w:hAnsi="Calibri"/>
          <w:b w:val="0"/>
          <w:color w:val="2B2B2B"/>
          <w:sz w:val="22"/>
        </w:rPr>
        <w:t>datos"*. Bogotá, Colombia: Diario Oficial, 2009.</w:t>
      </w:r>
    </w:p>
    <w:p>
      <w:r>
        <w:rPr>
          <w:rFonts w:ascii="Calibri" w:hAnsi="Calibri"/>
          <w:b w:val="0"/>
          <w:color w:val="2B2B2B"/>
          <w:sz w:val="22"/>
        </w:rPr>
        <w:t>[9] Departamento Nacional de Planeación, *Documento CONPES 3995: Política Nacional de Confianza y</w:t>
      </w:r>
    </w:p>
    <w:p>
      <w:r>
        <w:rPr>
          <w:rFonts w:ascii="Calibri" w:hAnsi="Calibri"/>
          <w:b w:val="0"/>
          <w:color w:val="2B2B2B"/>
          <w:sz w:val="22"/>
        </w:rPr>
        <w:t>Seguridad Digital*. Bogotá, Colombia: DNP, 2020.</w:t>
      </w:r>
    </w:p>
    <w:p>
      <w:r>
        <w:rPr>
          <w:rFonts w:ascii="Calibri" w:hAnsi="Calibri"/>
          <w:b w:val="0"/>
          <w:color w:val="2B2B2B"/>
          <w:sz w:val="22"/>
        </w:rPr>
        <w:t>[10] V. Chandola, A. Banerjee y V. Kumar, "Anomaly detection: A survey", *ACM Computing Surveys*,</w:t>
      </w:r>
    </w:p>
    <w:p>
      <w:r>
        <w:rPr>
          <w:rFonts w:ascii="Calibri" w:hAnsi="Calibri"/>
          <w:b w:val="0"/>
          <w:color w:val="2B2B2B"/>
          <w:sz w:val="22"/>
        </w:rPr>
        <w:t>vol. 41, n.º 3, art. 15, 2009.</w:t>
      </w:r>
    </w:p>
    <w:p>
      <w:r>
        <w:rPr>
          <w:rFonts w:ascii="Calibri" w:hAnsi="Calibri"/>
          <w:b w:val="0"/>
          <w:color w:val="2B2B2B"/>
          <w:sz w:val="22"/>
        </w:rPr>
        <w:t>[11] F. T. Liu, K. M. Ting y Z.-H. Zhou, "Isolation Forest", en *Proc. 8th IEEE International Conference</w:t>
      </w:r>
    </w:p>
    <w:p>
      <w:r>
        <w:rPr>
          <w:rFonts w:ascii="Calibri" w:hAnsi="Calibri"/>
          <w:b w:val="0"/>
          <w:color w:val="2B2B2B"/>
          <w:sz w:val="22"/>
        </w:rPr>
        <w:t>on Data Mining (ICDM)*, Pisa, Italia, 2008, pp. 413–422.</w:t>
      </w:r>
    </w:p>
    <w:p>
      <w:r>
        <w:rPr>
          <w:rFonts w:ascii="Calibri" w:hAnsi="Calibri"/>
          <w:b w:val="0"/>
          <w:color w:val="2B2B2B"/>
          <w:sz w:val="22"/>
        </w:rPr>
        <w:t>[12] K. Krippendorff, *Content Analysis: An Introduction to Its Methodology*, 4.ª ed. Thousand Oaks, CA,</w:t>
      </w:r>
    </w:p>
    <w:p>
      <w:r>
        <w:rPr>
          <w:rFonts w:ascii="Calibri" w:hAnsi="Calibri"/>
          <w:b w:val="0"/>
          <w:color w:val="2B2B2B"/>
          <w:sz w:val="22"/>
        </w:rPr>
        <w:t>EE. UU.: SAGE, 2018.</w:t>
      </w:r>
    </w:p>
    <w:p>
      <w:r>
        <w:rPr>
          <w:rFonts w:ascii="Calibri" w:hAnsi="Calibri"/>
          <w:b w:val="0"/>
          <w:color w:val="2B2B2B"/>
          <w:sz w:val="22"/>
        </w:rPr>
        <w:t>[13] Presidencia de la República de Colombia, *Decreto 957 de 2019, por el cual se establece la</w:t>
      </w:r>
    </w:p>
    <w:p>
      <w:r>
        <w:rPr>
          <w:rFonts w:ascii="Calibri" w:hAnsi="Calibri"/>
          <w:b w:val="0"/>
          <w:color w:val="2B2B2B"/>
          <w:sz w:val="22"/>
        </w:rPr>
        <w:t>clasificación del tamaño empresarial según el criterio de ingresos por actividades ordinarias*. Bogotá,</w:t>
      </w:r>
    </w:p>
    <w:p>
      <w:r>
        <w:rPr>
          <w:rFonts w:ascii="Calibri" w:hAnsi="Calibri"/>
          <w:b w:val="0"/>
          <w:color w:val="2B2B2B"/>
          <w:sz w:val="22"/>
        </w:rPr>
        <w:t>Colombia: Diario Oficial, 2019.</w:t>
      </w:r>
    </w:p>
    <w:p>
      <w:r>
        <w:rPr>
          <w:rFonts w:ascii="Calibri" w:hAnsi="Calibri"/>
          <w:b w:val="0"/>
          <w:color w:val="2B2B2B"/>
          <w:sz w:val="22"/>
        </w:rPr>
        <w:t>[14] Parlamento Europeo y Consejo de la Unión Europea, *Reglamento (UE) 2016/679, relativo a la</w:t>
      </w:r>
    </w:p>
    <w:p>
      <w:r>
        <w:rPr>
          <w:rFonts w:ascii="Calibri" w:hAnsi="Calibri"/>
          <w:b w:val="0"/>
          <w:color w:val="2B2B2B"/>
          <w:sz w:val="22"/>
        </w:rPr>
        <w:t>protección de las personas físicas en lo que respecta al tratamiento de datos personales y a la libre</w:t>
      </w:r>
    </w:p>
    <w:p>
      <w:r>
        <w:rPr>
          <w:rFonts w:ascii="Calibri" w:hAnsi="Calibri"/>
          <w:b w:val="0"/>
          <w:color w:val="2B2B2B"/>
          <w:sz w:val="22"/>
        </w:rPr>
        <w:t>circulación de estos datos (Reglamento General de Protección de Datos)*. Diario Oficial de la Unión</w:t>
      </w:r>
    </w:p>
    <w:p>
      <w:r>
        <w:rPr>
          <w:rFonts w:ascii="Calibri" w:hAnsi="Calibri"/>
          <w:b w:val="0"/>
          <w:color w:val="2B2B2B"/>
          <w:sz w:val="22"/>
        </w:rPr>
        <w:t>Europea, L 119, 2016.</w:t>
      </w:r>
    </w:p>
    <w:p>
      <w:r>
        <w:rPr>
          <w:rFonts w:ascii="Calibri" w:hAnsi="Calibri"/>
          <w:b w:val="0"/>
          <w:color w:val="2B2B2B"/>
          <w:sz w:val="22"/>
        </w:rPr>
        <w:t>[15] C. Paulsen y P. Toth, *Small Business Information Security: The Fundamentals*, NISTIR 7621</w:t>
      </w:r>
    </w:p>
    <w:p>
      <w:r>
        <w:rPr>
          <w:rFonts w:ascii="Calibri" w:hAnsi="Calibri"/>
          <w:b w:val="0"/>
          <w:color w:val="2B2B2B"/>
          <w:sz w:val="22"/>
        </w:rPr>
        <w:t>Rev. 1. Gaithersburg, MD, EE. UU.: NIST, 2016.</w:t>
      </w:r>
    </w:p>
    <w:p>
      <w:r>
        <w:rPr>
          <w:rFonts w:ascii="Calibri" w:hAnsi="Calibri"/>
          <w:b w:val="0"/>
          <w:color w:val="2B2B2B"/>
          <w:sz w:val="22"/>
        </w:rPr>
        <w:t>[16] W. S. Humphrey, "Characterizing the software process: a maturity framework", *IEEE Software*,</w:t>
      </w:r>
    </w:p>
    <w:p>
      <w:r>
        <w:rPr>
          <w:rFonts w:ascii="Calibri" w:hAnsi="Calibri"/>
          <w:b w:val="0"/>
          <w:color w:val="2B2B2B"/>
          <w:sz w:val="22"/>
        </w:rPr>
        <w:t>vol. 5, n.º 2, pp. 73–79, 1988.</w:t>
      </w:r>
    </w:p>
    <w:p>
      <w:r>
        <w:rPr>
          <w:rFonts w:ascii="Calibri" w:hAnsi="Calibri"/>
          <w:b w:val="0"/>
          <w:color w:val="2B2B2B"/>
          <w:sz w:val="22"/>
        </w:rPr>
        <w:t>[17] J. Becker, R. Knackstedt y J. Pöppelbuß, "Developing maturity models for IT management: a procedure</w:t>
      </w:r>
    </w:p>
    <w:p>
      <w:r>
        <w:rPr>
          <w:rFonts w:ascii="Calibri" w:hAnsi="Calibri"/>
          <w:b w:val="0"/>
          <w:color w:val="2B2B2B"/>
          <w:sz w:val="22"/>
        </w:rPr>
        <w:t>model and its application", *Business &amp; Information Systems Engineering*, vol. 1, n.º 3, pp. 213–222,</w:t>
      </w:r>
    </w:p>
    <w:p>
      <w:r>
        <w:rPr>
          <w:rFonts w:ascii="Calibri" w:hAnsi="Calibri"/>
          <w:b w:val="0"/>
          <w:color w:val="2B2B2B"/>
          <w:sz w:val="22"/>
        </w:rPr>
        <w:t>2009.</w:t>
      </w:r>
    </w:p>
    <w:p>
      <w:r>
        <w:rPr>
          <w:rFonts w:ascii="Calibri" w:hAnsi="Calibri"/>
          <w:b w:val="0"/>
          <w:color w:val="2B2B2B"/>
          <w:sz w:val="22"/>
        </w:rPr>
        <w:t>[18] C. H. Lawshe, "A quantitative approach to content validity", *Personnel Psychology*, vol. 28,</w:t>
      </w:r>
    </w:p>
    <w:p>
      <w:r>
        <w:rPr>
          <w:rFonts w:ascii="Calibri" w:hAnsi="Calibri"/>
          <w:b w:val="0"/>
          <w:color w:val="2B2B2B"/>
          <w:sz w:val="22"/>
        </w:rPr>
        <w:t>n.º 4, pp. 563–575, 1975.</w:t>
      </w:r>
    </w:p>
    <w:p>
      <w:r>
        <w:rPr>
          <w:rFonts w:ascii="Calibri" w:hAnsi="Calibri"/>
          <w:b w:val="0"/>
          <w:color w:val="2B2B2B"/>
          <w:sz w:val="22"/>
        </w:rPr>
        <w:t>[19] A. F. Hayes y K. Krippendorff, "Answering the call for a standard reliability measure for coding</w:t>
      </w:r>
    </w:p>
    <w:p>
      <w:r>
        <w:rPr>
          <w:rFonts w:ascii="Calibri" w:hAnsi="Calibri"/>
          <w:b w:val="0"/>
          <w:color w:val="2B2B2B"/>
          <w:sz w:val="22"/>
        </w:rPr>
        <w:t>data", *Communication Methods and Measures*, vol. 1, n.º 1, pp. 77–89, 2007.</w:t>
      </w:r>
    </w:p>
    <w:p>
      <w:r>
        <w:rPr>
          <w:rFonts w:ascii="Calibri" w:hAnsi="Calibri"/>
          <w:b w:val="0"/>
          <w:color w:val="2B2B2B"/>
          <w:sz w:val="22"/>
        </w:rPr>
        <w:t>[20] D. E. Denning, "An intrusion-detection model", *IEEE Transactions on Software Engineering*,</w:t>
      </w:r>
    </w:p>
    <w:p>
      <w:r>
        <w:rPr>
          <w:rFonts w:ascii="Calibri" w:hAnsi="Calibri"/>
          <w:b w:val="0"/>
          <w:color w:val="2B2B2B"/>
          <w:sz w:val="22"/>
        </w:rPr>
        <w:t>vol. SE-13, n.º 2, pp. 222–232, 1987.</w:t>
      </w:r>
    </w:p>
    <w:p>
      <w:r>
        <w:rPr>
          <w:rFonts w:ascii="Calibri" w:hAnsi="Calibri"/>
          <w:b w:val="0"/>
          <w:color w:val="2B2B2B"/>
          <w:sz w:val="22"/>
        </w:rPr>
        <w:t>[21] F. Pedregosa et al., "Scikit-learn: machine learning in Python", *Journal of Machine Learning</w:t>
      </w:r>
    </w:p>
    <w:p>
      <w:r>
        <w:rPr>
          <w:rFonts w:ascii="Calibri" w:hAnsi="Calibri"/>
          <w:b w:val="0"/>
          <w:color w:val="2B2B2B"/>
          <w:sz w:val="22"/>
        </w:rPr>
        <w:t>Research*, vol. 12, pp. 2825–2830, 2011.</w:t>
      </w:r>
    </w:p>
    <w:p>
      <w:r>
        <w:rPr>
          <w:rFonts w:ascii="Calibri" w:hAnsi="Calibri"/>
          <w:b w:val="0"/>
          <w:color w:val="2B2B2B"/>
          <w:sz w:val="22"/>
        </w:rPr>
        <w:t>[22] S. Axelsson, "The base-rate fallacy and the difficulty of intrusion detection", *ACM Transactions</w:t>
      </w:r>
    </w:p>
    <w:p>
      <w:r>
        <w:rPr>
          <w:rFonts w:ascii="Calibri" w:hAnsi="Calibri"/>
          <w:b w:val="0"/>
          <w:color w:val="2B2B2B"/>
          <w:sz w:val="22"/>
        </w:rPr>
        <w:t>on Information and System Security*, vol. 3, n.º 3, pp. 186–205, 2000.</w:t>
      </w:r>
    </w:p>
    <w:p>
      <w:r>
        <w:rPr>
          <w:rFonts w:ascii="Calibri" w:hAnsi="Calibri"/>
          <w:b w:val="0"/>
          <w:color w:val="2B2B2B"/>
          <w:sz w:val="22"/>
        </w:rPr>
        <w:t>[23] R. Sommer y V. Paxson, "Outside the closed world: on using machine learning for network intrusion</w:t>
      </w:r>
    </w:p>
    <w:p>
      <w:r>
        <w:rPr>
          <w:rFonts w:ascii="Calibri" w:hAnsi="Calibri"/>
          <w:b w:val="0"/>
          <w:color w:val="2B2B2B"/>
          <w:sz w:val="22"/>
        </w:rPr>
        <w:t>detection", en *Proc. 2010 IEEE Symposium on Security and Privacy*, Oakland, CA, EE. UU., 2010,</w:t>
      </w:r>
    </w:p>
    <w:p>
      <w:r>
        <w:rPr>
          <w:rFonts w:ascii="Calibri" w:hAnsi="Calibri"/>
          <w:b w:val="0"/>
          <w:color w:val="2B2B2B"/>
          <w:sz w:val="22"/>
        </w:rPr>
        <w:t>pp. 305–316.</w:t>
      </w:r>
    </w:p>
    <w:p>
      <w:r>
        <w:rPr>
          <w:rFonts w:ascii="Calibri" w:hAnsi="Calibri"/>
          <w:b w:val="0"/>
          <w:color w:val="2B2B2B"/>
          <w:sz w:val="22"/>
        </w:rPr>
        <w:t>[24] N. Carlini et al., "Extracting training data from large language models", en *Proc. 30th USENIX</w:t>
      </w:r>
    </w:p>
    <w:p>
      <w:r>
        <w:rPr>
          <w:rFonts w:ascii="Calibri" w:hAnsi="Calibri"/>
          <w:b w:val="0"/>
          <w:color w:val="2B2B2B"/>
          <w:sz w:val="22"/>
        </w:rPr>
        <w:t>Security Symposium*, 2021.</w:t>
      </w:r>
    </w:p>
    <w:p>
      <w:r>
        <w:rPr>
          <w:rFonts w:ascii="Calibri" w:hAnsi="Calibri"/>
          <w:b w:val="0"/>
          <w:color w:val="2B2B2B"/>
          <w:sz w:val="22"/>
        </w:rPr>
        <w:t>[25] J. W. Creswell y V. L. Plano Clark, *Designing and Conducting Mixed Methods Research*, 3.ª ed.</w:t>
      </w:r>
    </w:p>
    <w:p>
      <w:r>
        <w:rPr>
          <w:rFonts w:ascii="Calibri" w:hAnsi="Calibri"/>
          <w:b w:val="0"/>
          <w:color w:val="2B2B2B"/>
          <w:sz w:val="22"/>
        </w:rPr>
        <w:t>Thousand Oaks, CA, EE. UU.: SAGE, 2018.</w:t>
      </w:r>
    </w:p>
    <w:p>
      <w:pPr>
        <w:spacing w:before="200" w:after="60"/>
      </w:pPr>
      <w:r>
        <w:rPr>
          <w:rFonts w:ascii="Calibri" w:hAnsi="Calibri"/>
          <w:b/>
          <w:color w:val="007433"/>
          <w:sz w:val="32"/>
        </w:rPr>
        <w:t>Estado de verificación de las entradas</w:t>
      </w:r>
    </w:p>
    <w:p>
      <w:r>
        <w:rPr>
          <w:rFonts w:ascii="Calibri" w:hAnsi="Calibri"/>
          <w:b w:val="0"/>
          <w:color w:val="2B2B2B"/>
          <w:sz w:val="22"/>
        </w:rPr>
        <w:t>Todas las obras listadas son publicaciones existentes y localizables por su asiento bibliográfico</w:t>
      </w:r>
    </w:p>
    <w:p>
      <w:r>
        <w:rPr>
          <w:rFonts w:ascii="Calibri" w:hAnsi="Calibri"/>
          <w:b w:val="0"/>
          <w:color w:val="2B2B2B"/>
          <w:sz w:val="22"/>
        </w:rPr>
        <w:t>—de acceso abierto, **salvo las normas ISO/IEC 27001:2022 [4] e ISO/IEC 27002:2022 [5], que son de</w:t>
      </w:r>
    </w:p>
    <w:p>
      <w:r>
        <w:rPr>
          <w:rFonts w:ascii="Calibri" w:hAnsi="Calibri"/>
          <w:b w:val="0"/>
          <w:color w:val="2B2B2B"/>
          <w:sz w:val="22"/>
        </w:rPr>
        <w:t>acceso pago**, como se declara también en el apartado de propiedad intelectual—, seleccionadas por ser</w:t>
      </w:r>
    </w:p>
    <w:p>
      <w:r>
        <w:rPr>
          <w:rFonts w:ascii="Calibri" w:hAnsi="Calibri"/>
          <w:b w:val="0"/>
          <w:color w:val="2B2B2B"/>
          <w:sz w:val="22"/>
        </w:rPr>
        <w:t>fuentes seminales, revisiones consolidadas o textos normativos vigentes, y no obras de las que el</w:t>
      </w:r>
    </w:p>
    <w:p>
      <w:r>
        <w:rPr>
          <w:rFonts w:ascii="Calibri" w:hAnsi="Calibri"/>
          <w:b w:val="0"/>
          <w:color w:val="2B2B2B"/>
          <w:sz w:val="22"/>
        </w:rPr>
        <w:t>investigador no tenga conocimiento directo. **No se declara realizada la verificación entrada por entrada contra el</w:t>
      </w:r>
    </w:p>
    <w:p>
      <w:r>
        <w:rPr>
          <w:rFonts w:ascii="Calibri" w:hAnsi="Calibri"/>
          <w:b w:val="0"/>
          <w:color w:val="2B2B2B"/>
          <w:sz w:val="22"/>
        </w:rPr>
        <w:t>registro de cada editor**: el pendiente 9 de este documento la mantiene abierta como tarea previa a la</w:t>
      </w:r>
    </w:p>
    <w:p>
      <w:r>
        <w:rPr>
          <w:rFonts w:ascii="Calibri" w:hAnsi="Calibri"/>
          <w:b w:val="0"/>
          <w:color w:val="2B2B2B"/>
          <w:sz w:val="22"/>
        </w:rPr>
        <w:t>radicación, y en esa revisión deben confirmarse en particular los datos secundarios de cada asiento</w:t>
      </w:r>
    </w:p>
    <w:p>
      <w:r>
        <w:rPr>
          <w:rFonts w:ascii="Calibri" w:hAnsi="Calibri"/>
          <w:b w:val="0"/>
          <w:color w:val="2B2B2B"/>
          <w:sz w:val="22"/>
        </w:rPr>
        <w:t>—volumen, número, paginación, año de edición y sede del editor—, así como el inventario normativo</w:t>
      </w:r>
    </w:p>
    <w:p>
      <w:r>
        <w:rPr>
          <w:rFonts w:ascii="Calibri" w:hAnsi="Calibri"/>
          <w:b w:val="0"/>
          <w:color w:val="2B2B2B"/>
          <w:sz w:val="22"/>
        </w:rPr>
        <w:t>definitivo contra las publicaciones oficiales de la Superintendencia de Industria y Comercio. Se reitera</w:t>
      </w:r>
    </w:p>
    <w:p>
      <w:r>
        <w:rPr>
          <w:rFonts w:ascii="Calibri" w:hAnsi="Calibri"/>
          <w:b w:val="0"/>
          <w:color w:val="2B2B2B"/>
          <w:sz w:val="22"/>
        </w:rPr>
        <w:t>que la "Circular Externa 002 de 2023 de la SIC" que citaba la propuesta de Fase 1 **no se pudo verificar</w:t>
      </w:r>
    </w:p>
    <w:p>
      <w:r>
        <w:rPr>
          <w:rFonts w:ascii="Calibri" w:hAnsi="Calibri"/>
          <w:b w:val="0"/>
          <w:color w:val="2B2B2B"/>
          <w:sz w:val="22"/>
        </w:rPr>
        <w:t>y por eso no se incorpora aquí**; si su existencia y pertinencia se confirman en esa revisión, entrará a</w:t>
      </w:r>
    </w:p>
    <w:p>
      <w:r>
        <w:rPr>
          <w:rFonts w:ascii="Calibri" w:hAnsi="Calibri"/>
          <w:b w:val="0"/>
          <w:color w:val="2B2B2B"/>
          <w:sz w:val="22"/>
        </w:rPr>
        <w:t>la lista citada correctamente.</w:t>
      </w:r>
    </w:p>
    <w:p>
      <w:pPr>
        <w:spacing w:before="200" w:after="60"/>
      </w:pPr>
      <w:r>
        <w:rPr>
          <w:rFonts w:ascii="Calibri" w:hAnsi="Calibri"/>
          <w:b/>
          <w:color w:val="007433"/>
          <w:sz w:val="32"/>
        </w:rPr>
        <w:t>Declaración de uso de herramientas de inteligencia artificial en la elaboración de este documento</w:t>
      </w:r>
    </w:p>
    <w:p>
      <w:r>
        <w:rPr>
          <w:rFonts w:ascii="Calibri" w:hAnsi="Calibri"/>
          <w:b w:val="0"/>
          <w:color w:val="2B2B2B"/>
          <w:sz w:val="22"/>
        </w:rPr>
        <w:t>Conforme al eje transversal de vinculación de herramientas de IA de la convocatoria, se declara el uso de</w:t>
      </w:r>
    </w:p>
    <w:p>
      <w:r>
        <w:rPr>
          <w:rFonts w:ascii="Calibri" w:hAnsi="Calibri"/>
          <w:b/>
          <w:color w:val="2B2B2B"/>
          <w:sz w:val="22"/>
        </w:rPr>
        <w:t>Claude (Anthropic)</w:t>
      </w:r>
      <w:r>
        <w:rPr>
          <w:rFonts w:ascii="Calibri" w:hAnsi="Calibri"/>
          <w:b w:val="0"/>
          <w:color w:val="2B2B2B"/>
          <w:sz w:val="22"/>
        </w:rPr>
        <w:t>, asistente de IA generativa, en la preparación de este anteproyecto, con el</w:t>
      </w:r>
    </w:p>
    <w:p>
      <w:r>
        <w:rPr>
          <w:rFonts w:ascii="Calibri" w:hAnsi="Calibri"/>
          <w:b w:val="0"/>
          <w:color w:val="2B2B2B"/>
          <w:sz w:val="22"/>
        </w:rPr>
        <w:t>siguiente alcance y las siguientes salvaguardas.</w:t>
      </w:r>
    </w:p>
    <w:p>
      <w:pPr>
        <w:pStyle w:val="ListBullet"/>
      </w:pPr>
      <w:r>
        <w:rPr>
          <w:rFonts w:ascii="Calibri" w:hAnsi="Calibri"/>
          <w:b/>
          <w:color w:val="2B2B2B"/>
          <w:sz w:val="22"/>
        </w:rPr>
        <w:t>Para qué se usó.</w:t>
      </w:r>
      <w:r>
        <w:rPr>
          <w:rFonts w:ascii="Calibri" w:hAnsi="Calibri"/>
          <w:b w:val="0"/>
          <w:color w:val="2B2B2B"/>
          <w:sz w:val="22"/>
        </w:rPr>
        <w:t xml:space="preserve"> Organización de la estructura argumental del marco teórico; síntesis comparada de</w:t>
      </w:r>
    </w:p>
    <w:p>
      <w:r>
        <w:rPr>
          <w:rFonts w:ascii="Calibri" w:hAnsi="Calibri"/>
          <w:b w:val="0"/>
          <w:color w:val="2B2B2B"/>
          <w:sz w:val="22"/>
        </w:rPr>
        <w:t>las obligaciones del marco normativo colombiano frente a los controles de los estándares</w:t>
      </w:r>
    </w:p>
    <w:p>
      <w:r>
        <w:rPr>
          <w:rFonts w:ascii="Calibri" w:hAnsi="Calibri"/>
          <w:b w:val="0"/>
          <w:color w:val="2B2B2B"/>
          <w:sz w:val="22"/>
        </w:rPr>
        <w:t>internacionales de referencia, insumo de la matriz de correspondencia del primer objetivo específico;</w:t>
      </w:r>
    </w:p>
    <w:p>
      <w:r>
        <w:rPr>
          <w:rFonts w:ascii="Calibri" w:hAnsi="Calibri"/>
          <w:b w:val="0"/>
          <w:color w:val="2B2B2B"/>
          <w:sz w:val="22"/>
        </w:rPr>
        <w:t>redacción y edición del texto en español, incluida la compresión de la sección para ajustarla al rango</w:t>
      </w:r>
    </w:p>
    <w:p>
      <w:r>
        <w:rPr>
          <w:rFonts w:ascii="Calibri" w:hAnsi="Calibri"/>
          <w:b w:val="0"/>
          <w:color w:val="2B2B2B"/>
          <w:sz w:val="22"/>
        </w:rPr>
        <w:t>de extensión exigido por el formato; y revisión de consistencia interna entre objetivos, productos,</w:t>
      </w:r>
    </w:p>
    <w:p>
      <w:r>
        <w:rPr>
          <w:rFonts w:ascii="Calibri" w:hAnsi="Calibri"/>
          <w:b w:val="0"/>
          <w:color w:val="2B2B2B"/>
          <w:sz w:val="22"/>
        </w:rPr>
        <w:t>hipótesis e indicadores.</w:t>
      </w:r>
    </w:p>
    <w:p>
      <w:pPr>
        <w:pStyle w:val="ListBullet"/>
      </w:pPr>
      <w:r>
        <w:rPr>
          <w:rFonts w:ascii="Calibri" w:hAnsi="Calibri"/>
          <w:b/>
          <w:color w:val="2B2B2B"/>
          <w:sz w:val="22"/>
        </w:rPr>
        <w:t>Para qué no se usó.</w:t>
      </w:r>
      <w:r>
        <w:rPr>
          <w:rFonts w:ascii="Calibri" w:hAnsi="Calibri"/>
          <w:b w:val="0"/>
          <w:color w:val="2B2B2B"/>
          <w:sz w:val="22"/>
        </w:rPr>
        <w:t xml:space="preserve"> No se usó para generar datos, resultados ni conclusiones —no existen aún, y el</w:t>
      </w:r>
    </w:p>
    <w:p>
      <w:r>
        <w:rPr>
          <w:rFonts w:ascii="Calibri" w:hAnsi="Calibri"/>
          <w:b w:val="0"/>
          <w:color w:val="2B2B2B"/>
          <w:sz w:val="22"/>
        </w:rPr>
        <w:t>documento no afirma ninguno—, ni para producir la lista de referencias a partir de una solicitud</w:t>
      </w:r>
    </w:p>
    <w:p>
      <w:r>
        <w:rPr>
          <w:rFonts w:ascii="Calibri" w:hAnsi="Calibri"/>
          <w:b w:val="0"/>
          <w:color w:val="2B2B2B"/>
          <w:sz w:val="22"/>
        </w:rPr>
        <w:t>abierta al modelo. Las obras citadas fueron elegidas por el investigador principal entre fuentes que</w:t>
      </w:r>
    </w:p>
    <w:p>
      <w:r>
        <w:rPr>
          <w:rFonts w:ascii="Calibri" w:hAnsi="Calibri"/>
          <w:b w:val="0"/>
          <w:color w:val="2B2B2B"/>
          <w:sz w:val="22"/>
        </w:rPr>
        <w:t>conoce; ninguna se incorporó por sugerencia no examinada del asistente.</w:t>
      </w:r>
    </w:p>
    <w:p>
      <w:pPr>
        <w:pStyle w:val="ListBullet"/>
      </w:pPr>
      <w:r>
        <w:rPr>
          <w:rFonts w:ascii="Calibri" w:hAnsi="Calibri"/>
          <w:b/>
          <w:color w:val="2B2B2B"/>
          <w:sz w:val="22"/>
        </w:rPr>
        <w:t>Salvaguardas y responsabilidad.</w:t>
      </w:r>
      <w:r>
        <w:rPr>
          <w:rFonts w:ascii="Calibri" w:hAnsi="Calibri"/>
          <w:b w:val="0"/>
          <w:color w:val="2B2B2B"/>
          <w:sz w:val="22"/>
        </w:rPr>
        <w:t xml:space="preserve"> Toda afirmación normativa se contrasta contra el texto oficial de</w:t>
      </w:r>
    </w:p>
    <w:p>
      <w:r>
        <w:rPr>
          <w:rFonts w:ascii="Calibri" w:hAnsi="Calibri"/>
          <w:b w:val="0"/>
          <w:color w:val="2B2B2B"/>
          <w:sz w:val="22"/>
        </w:rPr>
        <w:t>la norma, y esa verificación la realiza el investigador. Los conteos de palabras del resumen y del</w:t>
      </w:r>
    </w:p>
    <w:p>
      <w:r>
        <w:rPr>
          <w:rFonts w:ascii="Calibri" w:hAnsi="Calibri"/>
          <w:b w:val="0"/>
          <w:color w:val="2B2B2B"/>
          <w:sz w:val="22"/>
        </w:rPr>
        <w:t xml:space="preserve">marco teórico se obtuvieron con </w:t>
      </w:r>
      <w:r>
        <w:rPr>
          <w:rFonts w:ascii="Consolas" w:hAnsi="Consolas"/>
          <w:color w:val="111111"/>
          <w:sz w:val="21"/>
        </w:rPr>
        <w:t>wc -w</w:t>
      </w:r>
      <w:r>
        <w:rPr>
          <w:rFonts w:ascii="Calibri" w:hAnsi="Calibri"/>
          <w:b w:val="0"/>
          <w:color w:val="2B2B2B"/>
          <w:sz w:val="22"/>
        </w:rPr>
        <w:t xml:space="preserve"> sobre el texto extraído del archivo, no por estimación del</w:t>
      </w:r>
    </w:p>
    <w:p>
      <w:r>
        <w:rPr>
          <w:rFonts w:ascii="Calibri" w:hAnsi="Calibri"/>
          <w:b w:val="0"/>
          <w:color w:val="2B2B2B"/>
          <w:sz w:val="22"/>
        </w:rPr>
        <w:t>modelo. Los datos secundarios de las referencias quedan sujetos a la verificación declarada como</w:t>
      </w:r>
    </w:p>
    <w:p>
      <w:r>
        <w:rPr>
          <w:rFonts w:ascii="Calibri" w:hAnsi="Calibri"/>
          <w:b w:val="0"/>
          <w:color w:val="2B2B2B"/>
          <w:sz w:val="22"/>
        </w:rPr>
        <w:t>pendiente en el apartado anterior. La responsabilidad intelectual del contenido, de los criterios</w:t>
      </w:r>
    </w:p>
    <w:p>
      <w:r>
        <w:rPr>
          <w:rFonts w:ascii="Calibri" w:hAnsi="Calibri"/>
          <w:b w:val="0"/>
          <w:color w:val="2B2B2B"/>
          <w:sz w:val="22"/>
        </w:rPr>
        <w:t>metodológicos y de los umbrales fijados por adelantado es enteramente del investigador principal.</w:t>
      </w:r>
    </w:p>
    <w:p>
      <w:pPr>
        <w:pStyle w:val="ListBullet"/>
      </w:pPr>
      <w:r>
        <w:rPr>
          <w:rFonts w:ascii="Calibri" w:hAnsi="Calibri"/>
          <w:b/>
          <w:color w:val="2B2B2B"/>
          <w:sz w:val="22"/>
        </w:rPr>
        <w:t>Coherencia con el objeto de estudio.</w:t>
      </w:r>
      <w:r>
        <w:rPr>
          <w:rFonts w:ascii="Calibri" w:hAnsi="Calibri"/>
          <w:b w:val="0"/>
          <w:color w:val="2B2B2B"/>
          <w:sz w:val="22"/>
        </w:rPr>
        <w:t xml:space="preserve"> El mismo criterio que este proyecto recomienda a las</w:t>
      </w:r>
    </w:p>
    <w:p>
      <w:r>
        <w:rPr>
          <w:rFonts w:ascii="Calibri" w:hAnsi="Calibri"/>
          <w:b w:val="0"/>
          <w:color w:val="2B2B2B"/>
          <w:sz w:val="22"/>
        </w:rPr>
        <w:t>organizaciones diagnosticadas se aplica aquí: no se incorporaron a ningún *prompt* datos personales de</w:t>
      </w:r>
    </w:p>
    <w:p>
      <w:r>
        <w:rPr>
          <w:rFonts w:ascii="Calibri" w:hAnsi="Calibri"/>
          <w:b w:val="0"/>
          <w:color w:val="2B2B2B"/>
          <w:sz w:val="22"/>
        </w:rPr>
        <w:t>terceros, ni información identificable de organizaciones, ni material sujeto a reserva.</w:t>
      </w:r>
    </w:p>
    <w:p>
      <w:pPr>
        <w:spacing w:before="200" w:after="60"/>
      </w:pPr>
      <w:r>
        <w:rPr>
          <w:rFonts w:ascii="Calibri" w:hAnsi="Calibri"/>
          <w:b/>
          <w:color w:val="007433"/>
          <w:sz w:val="32"/>
        </w:rPr>
        <w:t>Aspectos éticos</w:t>
      </w:r>
    </w:p>
    <w:p>
      <w:r>
        <w:rPr>
          <w:rFonts w:ascii="Calibri" w:hAnsi="Calibri"/>
          <w:b w:val="0"/>
          <w:color w:val="2B2B2B"/>
          <w:sz w:val="22"/>
        </w:rPr>
        <w:t xml:space="preserve">Corresponde al campo </w:t>
      </w:r>
      <w:r>
        <w:rPr>
          <w:rFonts w:ascii="Calibri" w:hAnsi="Calibri"/>
          <w:b/>
          <w:color w:val="2B2B2B"/>
          <w:sz w:val="22"/>
        </w:rPr>
        <w:t>17. ASPECTOS ÉTICOS</w:t>
      </w:r>
      <w:r>
        <w:rPr>
          <w:rFonts w:ascii="Calibri" w:hAnsi="Calibri"/>
          <w:b w:val="0"/>
          <w:color w:val="2B2B2B"/>
          <w:sz w:val="22"/>
        </w:rPr>
        <w:t xml:space="preserve"> del INV-FO03. Se responden **las cuatro preguntas del</w:t>
      </w:r>
    </w:p>
    <w:p>
      <w:r>
        <w:rPr>
          <w:rFonts w:ascii="Calibri" w:hAnsi="Calibri"/>
          <w:b w:val="0"/>
          <w:color w:val="2B2B2B"/>
          <w:sz w:val="22"/>
        </w:rPr>
        <w:t>formato**, incluida la que no aplica, porque dejar una en blanco obliga al evaluador a suponer si se</w:t>
      </w:r>
    </w:p>
    <w:p>
      <w:r>
        <w:rPr>
          <w:rFonts w:ascii="Calibri" w:hAnsi="Calibri"/>
          <w:b w:val="0"/>
          <w:color w:val="2B2B2B"/>
          <w:sz w:val="22"/>
        </w:rPr>
        <w:t>omitió por descuido o por inexistencia del supuesto.</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Aspecto ético</w:t>
            </w:r>
          </w:p>
        </w:tc>
        <w:tc>
          <w:tcPr>
            <w:tcW w:type="dxa" w:w="4896"/>
            <w:shd w:val="clear" w:fill="0C2340"/>
            <w:shd w:val="clear" w:fill="0C2340"/>
          </w:tcPr>
          <w:p>
            <w:r>
              <w:rPr>
                <w:rFonts w:ascii="Calibri" w:hAnsi="Calibri"/>
                <w:b/>
                <w:color w:val="FFFFFF"/>
              </w:rPr>
            </w:r>
            <w:r>
              <w:rPr>
                <w:rFonts w:ascii="Calibri" w:hAnsi="Calibri"/>
                <w:b/>
                <w:color w:val="FFFFFF"/>
                <w:sz w:val="21"/>
              </w:rPr>
              <w:t>Argumentación</w:t>
            </w:r>
          </w:p>
        </w:tc>
      </w:tr>
      <w:tr>
        <w:tc>
          <w:tcPr>
            <w:tcW w:type="dxa" w:w="4896"/>
          </w:tcPr>
          <w:p>
            <w:r/>
            <w:r>
              <w:rPr>
                <w:rFonts w:ascii="Calibri" w:hAnsi="Calibri"/>
                <w:b/>
                <w:color w:val="2B2B2B"/>
                <w:sz w:val="20"/>
              </w:rPr>
              <w:t>a) Posible impacto sobre poblaciones sujeto de estudio o intervenida</w:t>
            </w:r>
          </w:p>
        </w:tc>
        <w:tc>
          <w:tcPr>
            <w:tcW w:type="dxa" w:w="4896"/>
          </w:tcPr>
          <w:p>
            <w:r/>
            <w:r>
              <w:rPr>
                <w:rFonts w:ascii="Calibri" w:hAnsi="Calibri"/>
                <w:b w:val="0"/>
                <w:color w:val="2B2B2B"/>
                <w:sz w:val="20"/>
              </w:rPr>
              <w:t xml:space="preserve">Los sujetos de estudio son </w:t>
            </w:r>
            <w:r>
              <w:rPr>
                <w:rFonts w:ascii="Calibri" w:hAnsi="Calibri"/>
                <w:b/>
                <w:color w:val="2B2B2B"/>
                <w:sz w:val="20"/>
              </w:rPr>
              <w:t>personas adultas en ejercicio de un rol laboral</w:t>
            </w:r>
            <w:r>
              <w:rPr>
                <w:rFonts w:ascii="Calibri" w:hAnsi="Calibri"/>
                <w:b w:val="0"/>
                <w:color w:val="2B2B2B"/>
                <w:sz w:val="20"/>
              </w:rPr>
              <w:t xml:space="preserve">: el representante autorizado de cada organización y el personal que este designe para la entrevista. </w:t>
            </w:r>
            <w:r>
              <w:rPr>
                <w:rFonts w:ascii="Calibri" w:hAnsi="Calibri"/>
                <w:b/>
                <w:color w:val="2B2B2B"/>
                <w:sz w:val="20"/>
              </w:rPr>
              <w:t>No se interviene poblaciones vulnerables</w:t>
            </w:r>
            <w:r>
              <w:rPr>
                <w:rFonts w:ascii="Calibri" w:hAnsi="Calibri"/>
                <w:b w:val="0"/>
                <w:color w:val="2B2B2B"/>
                <w:sz w:val="20"/>
              </w:rPr>
              <w:t xml:space="preserve">, no se recogen datos de menores, no se realizan procedimientos sobre personas y no participan estudiantes en calidad de sujetos —el único estudiante vinculado lo está como </w:t>
            </w:r>
            <w:r>
              <w:rPr>
                <w:rFonts w:ascii="Calibri" w:hAnsi="Calibri"/>
                <w:b/>
                <w:color w:val="2B2B2B"/>
                <w:sz w:val="20"/>
              </w:rPr>
              <w:t>auxiliar de investigación</w:t>
            </w:r>
            <w:r>
              <w:rPr>
                <w:rFonts w:ascii="Calibri" w:hAnsi="Calibri"/>
                <w:b w:val="0"/>
                <w:color w:val="2B2B2B"/>
                <w:sz w:val="20"/>
              </w:rPr>
              <w:t xml:space="preserve">, con función metodológica y certificación, no como fuente de datos. Se identifican y controlan tres riesgos reales. </w:t>
            </w:r>
            <w:r>
              <w:rPr>
                <w:rFonts w:ascii="Calibri" w:hAnsi="Calibri"/>
                <w:b/>
                <w:color w:val="2B2B2B"/>
                <w:sz w:val="20"/>
              </w:rPr>
              <w:t>El primero es el riesgo reputacional y comercial para la organización:</w:t>
            </w:r>
            <w:r>
              <w:rPr>
                <w:rFonts w:ascii="Calibri" w:hAnsi="Calibri"/>
                <w:b w:val="0"/>
                <w:color w:val="2B2B2B"/>
                <w:sz w:val="20"/>
              </w:rPr>
              <w:t xml:space="preserve"> un informe que documente su incumplimiento del régimen de protección de datos podría perjudicarla si circulara identificada, de modo que cada organización recibe </w:t>
            </w:r>
            <w:r>
              <w:rPr>
                <w:rFonts w:ascii="Calibri" w:hAnsi="Calibri"/>
                <w:b/>
                <w:color w:val="2B2B2B"/>
                <w:sz w:val="20"/>
              </w:rPr>
              <w:t>su propio informe nominal</w:t>
            </w:r>
            <w:r>
              <w:rPr>
                <w:rFonts w:ascii="Calibri" w:hAnsi="Calibri"/>
                <w:b w:val="0"/>
                <w:color w:val="2B2B2B"/>
                <w:sz w:val="20"/>
              </w:rPr>
              <w:t xml:space="preserve"> y todo reporte público o académico se produce </w:t>
            </w:r>
            <w:r>
              <w:rPr>
                <w:rFonts w:ascii="Calibri" w:hAnsi="Calibri"/>
                <w:b/>
                <w:color w:val="2B2B2B"/>
                <w:sz w:val="20"/>
              </w:rPr>
              <w:t>anonimizado por organización</w:t>
            </w:r>
            <w:r>
              <w:rPr>
                <w:rFonts w:ascii="Calibri" w:hAnsi="Calibri"/>
                <w:b w:val="0"/>
                <w:color w:val="2B2B2B"/>
                <w:sz w:val="20"/>
              </w:rPr>
              <w:t xml:space="preserve"> (codificadas O1…O5, sin sector, tamaño exacto ni rasgo que permita reidentificar). </w:t>
            </w:r>
            <w:r>
              <w:rPr>
                <w:rFonts w:ascii="Calibri" w:hAnsi="Calibri"/>
                <w:b/>
                <w:color w:val="2B2B2B"/>
                <w:sz w:val="20"/>
              </w:rPr>
              <w:t>El segundo es el riesgo laboral para el personal entrevistado:</w:t>
            </w:r>
            <w:r>
              <w:rPr>
                <w:rFonts w:ascii="Calibri" w:hAnsi="Calibri"/>
                <w:b w:val="0"/>
                <w:color w:val="2B2B2B"/>
                <w:sz w:val="20"/>
              </w:rPr>
              <w:t xml:space="preserve"> describir lo que no se hace en su área puede leerse como confesión de una falla propia, de modo que la participación se solicita de forma voluntaria, las respuestas se reportan agregadas y seudonimizadas, </w:t>
            </w:r>
            <w:r>
              <w:rPr>
                <w:rFonts w:ascii="Calibri" w:hAnsi="Calibri"/>
                <w:b/>
                <w:color w:val="2B2B2B"/>
                <w:sz w:val="20"/>
              </w:rPr>
              <w:t>no se comparten con la gerencia de la organización en forma identificable</w:t>
            </w:r>
            <w:r>
              <w:rPr>
                <w:rFonts w:ascii="Calibri" w:hAnsi="Calibri"/>
                <w:b w:val="0"/>
                <w:color w:val="2B2B2B"/>
                <w:sz w:val="20"/>
              </w:rPr>
              <w:t xml:space="preserve"> y el consentimiento lo declara expresamente. </w:t>
            </w:r>
            <w:r>
              <w:rPr>
                <w:rFonts w:ascii="Calibri" w:hAnsi="Calibri"/>
                <w:b/>
                <w:color w:val="2B2B2B"/>
                <w:sz w:val="20"/>
              </w:rPr>
              <w:t>El tercero es el riesgo de confusión sobre lo que se entrega:</w:t>
            </w:r>
            <w:r>
              <w:rPr>
                <w:rFonts w:ascii="Calibri" w:hAnsi="Calibri"/>
                <w:b w:val="0"/>
                <w:color w:val="2B2B2B"/>
                <w:sz w:val="20"/>
              </w:rPr>
              <w:t xml:space="preserve"> creer que se recibió una auditoría o un certificado de cumplimiento sería el daño más costoso posible para la organización, así que se entrega por escrito una </w:t>
            </w:r>
            <w:r>
              <w:rPr>
                <w:rFonts w:ascii="Calibri" w:hAnsi="Calibri"/>
                <w:b/>
                <w:color w:val="2B2B2B"/>
                <w:sz w:val="20"/>
              </w:rPr>
              <w:t>constancia de participación en una investigación</w:t>
            </w:r>
            <w:r>
              <w:rPr>
                <w:rFonts w:ascii="Calibri" w:hAnsi="Calibri"/>
                <w:b w:val="0"/>
                <w:color w:val="2B2B2B"/>
                <w:sz w:val="20"/>
              </w:rPr>
              <w:t xml:space="preserve"> y se declara explícitamente que el proyecto no acredita cumplimiento ante ninguna autoridad ni sustituye asesoría jurídica. No se ofrece contraprestación económica a las organizaciones ni se acepta ninguna de ellas, para no inducir participación ni comprometer la independencia del diagnóstico.</w:t>
            </w:r>
          </w:p>
        </w:tc>
      </w:tr>
      <w:tr>
        <w:tc>
          <w:tcPr>
            <w:tcW w:type="dxa" w:w="4896"/>
            <w:shd w:val="clear" w:fill="F5F7F5"/>
            <w:shd w:val="clear" w:fill="F5F7F5"/>
          </w:tcPr>
          <w:p>
            <w:r/>
            <w:r>
              <w:rPr>
                <w:rFonts w:ascii="Calibri" w:hAnsi="Calibri"/>
                <w:b/>
                <w:color w:val="2B2B2B"/>
                <w:sz w:val="20"/>
              </w:rPr>
              <w:t>b) Adecuado uso y manejo de la información, incluyendo consentimiento informado cuando sea necesario</w:t>
            </w:r>
          </w:p>
        </w:tc>
        <w:tc>
          <w:tcPr>
            <w:tcW w:type="dxa" w:w="4896"/>
            <w:shd w:val="clear" w:fill="F5F7F5"/>
            <w:shd w:val="clear" w:fill="F5F7F5"/>
          </w:tcPr>
          <w:p>
            <w:r/>
            <w:r>
              <w:rPr>
                <w:rFonts w:ascii="Calibri" w:hAnsi="Calibri"/>
                <w:b w:val="0"/>
                <w:color w:val="2B2B2B"/>
                <w:sz w:val="20"/>
              </w:rPr>
              <w:t xml:space="preserve">Sí hay tratamiento de datos personales —de los representantes y del personal entrevistado— y se sujeta a la Ley Estatutaria 1581 de 2012 [6] y al Decreto 1377 de 2013 [7], las mismas normas cuyo cumplimiento el proyecto diagnostica: sería insostenible medirlas sin aplicarlas. Se usa </w:t>
            </w:r>
            <w:r>
              <w:rPr>
                <w:rFonts w:ascii="Calibri" w:hAnsi="Calibri"/>
                <w:b/>
                <w:color w:val="2B2B2B"/>
                <w:sz w:val="20"/>
              </w:rPr>
              <w:t>consentimiento informado escrito</w:t>
            </w:r>
            <w:r>
              <w:rPr>
                <w:rFonts w:ascii="Calibri" w:hAnsi="Calibri"/>
                <w:b w:val="0"/>
                <w:color w:val="2B2B2B"/>
                <w:sz w:val="20"/>
              </w:rPr>
              <w:t xml:space="preserve"> (instrumento I6) con propósito, uso, tratamiento anonimizado, grabación de audio cuando aplique y solo con autorización expresa, tiempo de conservación, derecho de retiro en cualquier momento sin justificación y sin consecuencia, y datos de contacto del investigador. Las respuestas se seudonimizan al ingresar, las transcripciones se depuran de identificadores y las grabaciones se conservan en almacenamiento cifrado de acceso restringido y se eliminan al cierre del proyecto. </w:t>
            </w:r>
            <w:r>
              <w:rPr>
                <w:rFonts w:ascii="Calibri" w:hAnsi="Calibri"/>
                <w:b/>
                <w:color w:val="2B2B2B"/>
                <w:sz w:val="20"/>
              </w:rPr>
              <w:t>Sobre los datos de las organizaciones la regla es más estricta y es constitutiva del diseño:</w:t>
            </w:r>
            <w:r>
              <w:rPr>
                <w:rFonts w:ascii="Calibri" w:hAnsi="Calibri"/>
                <w:b w:val="0"/>
                <w:color w:val="2B2B2B"/>
                <w:sz w:val="20"/>
              </w:rPr>
              <w:t xml:space="preserve"> los registros de acceso se </w:t>
            </w:r>
            <w:r>
              <w:rPr>
                <w:rFonts w:ascii="Calibri" w:hAnsi="Calibri"/>
                <w:b/>
                <w:color w:val="2B2B2B"/>
                <w:sz w:val="20"/>
              </w:rPr>
              <w:t>anonimizan en la infraestructura de la organización antes de salir de ella</w:t>
            </w:r>
            <w:r>
              <w:rPr>
                <w:rFonts w:ascii="Calibri" w:hAnsi="Calibri"/>
                <w:b w:val="0"/>
                <w:color w:val="2B2B2B"/>
                <w:sz w:val="20"/>
              </w:rPr>
              <w:t xml:space="preserve"> o se sustituyen por registros sintéticos con su misma estructura; el proyecto </w:t>
            </w:r>
            <w:r>
              <w:rPr>
                <w:rFonts w:ascii="Calibri" w:hAnsi="Calibri"/>
                <w:b/>
                <w:color w:val="2B2B2B"/>
                <w:sz w:val="20"/>
              </w:rPr>
              <w:t>no actúa como encargado del tratamiento</w:t>
            </w:r>
            <w:r>
              <w:rPr>
                <w:rFonts w:ascii="Calibri" w:hAnsi="Calibri"/>
                <w:b w:val="0"/>
                <w:color w:val="2B2B2B"/>
                <w:sz w:val="20"/>
              </w:rPr>
              <w:t xml:space="preserve"> de datos de terceros y </w:t>
            </w:r>
            <w:r>
              <w:rPr>
                <w:rFonts w:ascii="Calibri" w:hAnsi="Calibri"/>
                <w:b/>
                <w:color w:val="2B2B2B"/>
                <w:sz w:val="20"/>
              </w:rPr>
              <w:t>rechaza los registros que lleguen sin anonimizar</w:t>
            </w:r>
            <w:r>
              <w:rPr>
                <w:rFonts w:ascii="Calibri" w:hAnsi="Calibri"/>
                <w:b w:val="0"/>
                <w:color w:val="2B2B2B"/>
                <w:sz w:val="20"/>
              </w:rPr>
              <w:t xml:space="preserve">, incluso si la organización los ofrece voluntariamente (pendiente 10), porque aceptarlos crearía obligaciones y riesgos que no están previstos ni presupuestados. El compromiso es recíproco y consta por escrito en I6. </w:t>
            </w:r>
            <w:r>
              <w:rPr>
                <w:rFonts w:ascii="Calibri" w:hAnsi="Calibri"/>
                <w:b/>
                <w:color w:val="2B2B2B"/>
                <w:sz w:val="20"/>
              </w:rPr>
              <w:t>El aval del Comité de Ética de la Investigación Institucional sobre el instrumento, el guion de entrevista y el consentimiento es requisito habilitante: ninguna visita se realiza antes de obtenerlo</w:t>
            </w:r>
            <w:r>
              <w:rPr>
                <w:rFonts w:ascii="Calibri" w:hAnsi="Calibri"/>
                <w:b w:val="0"/>
                <w:color w:val="2B2B2B"/>
                <w:sz w:val="20"/>
              </w:rPr>
              <w:t xml:space="preserve"> (actividad 1). Los datos crudos que se publican como anexo del informe son las calificaciones por ítem, los desacuerdos entre calificadores y las salidas del detector, todos anonimizados y sin ningún dato personal.</w:t>
            </w:r>
          </w:p>
        </w:tc>
      </w:tr>
      <w:tr>
        <w:tc>
          <w:tcPr>
            <w:tcW w:type="dxa" w:w="4896"/>
          </w:tcPr>
          <w:p>
            <w:r/>
            <w:r>
              <w:rPr>
                <w:rFonts w:ascii="Calibri" w:hAnsi="Calibri"/>
                <w:b/>
                <w:color w:val="2B2B2B"/>
                <w:sz w:val="20"/>
              </w:rPr>
              <w:t>c) Respeto por el ambiente circundante, trato digno a seres humanos y otros seres sintientes</w:t>
            </w:r>
          </w:p>
        </w:tc>
        <w:tc>
          <w:tcPr>
            <w:tcW w:type="dxa" w:w="4896"/>
          </w:tcPr>
          <w:p>
            <w:r/>
            <w:r>
              <w:rPr>
                <w:rFonts w:ascii="Calibri" w:hAnsi="Calibri"/>
                <w:b/>
                <w:color w:val="2B2B2B"/>
                <w:sz w:val="20"/>
              </w:rPr>
              <w:t>No hay experimentación con animales ni con otros seres sintientes: ese componente no aplica</w:t>
            </w:r>
            <w:r>
              <w:rPr>
                <w:rFonts w:ascii="Calibri" w:hAnsi="Calibri"/>
                <w:b w:val="0"/>
                <w:color w:val="2B2B2B"/>
                <w:sz w:val="20"/>
              </w:rPr>
              <w:t xml:space="preserve">, y se declara así de manera expresa en lugar de dejarlo en blanco. El trato digno a los participantes humanos se concreta en voluntariedad, tiempos acotados y respetados (visita de diagnóstico de una jornada parcial, entrevista de 30 a 45 minutos, sesión de validación de una hora), lenguaje </w:t>
            </w:r>
            <w:r>
              <w:rPr>
                <w:rFonts w:ascii="Calibri" w:hAnsi="Calibri"/>
                <w:b/>
                <w:color w:val="2B2B2B"/>
                <w:sz w:val="20"/>
              </w:rPr>
              <w:t>no evaluativo ni acusatorio</w:t>
            </w:r>
            <w:r>
              <w:rPr>
                <w:rFonts w:ascii="Calibri" w:hAnsi="Calibri"/>
                <w:b w:val="0"/>
                <w:color w:val="2B2B2B"/>
                <w:sz w:val="20"/>
              </w:rPr>
              <w:t xml:space="preserve"> en los instrumentos —una brecha se registra como brecha, no como negligencia del entrevistado—, derecho a no responder cualquier ítem y derecho de la organización a no exhibir una evidencia sin que ello se interprete como incumplimiento sino como dato faltante declarado. Respecto del ambiente, el proyecto tiene una huella modesta pero no nula y conviene no ocultarla: </w:t>
            </w:r>
            <w:r>
              <w:rPr>
                <w:rFonts w:ascii="Calibri" w:hAnsi="Calibri"/>
                <w:b/>
                <w:color w:val="2B2B2B"/>
                <w:sz w:val="20"/>
              </w:rPr>
              <w:t>desplazamientos urbanos</w:t>
            </w:r>
            <w:r>
              <w:rPr>
                <w:rFonts w:ascii="Calibri" w:hAnsi="Calibri"/>
                <w:b w:val="0"/>
                <w:color w:val="2B2B2B"/>
                <w:sz w:val="20"/>
              </w:rPr>
              <w:t xml:space="preserve"> (hasta 30 trayectos, que se agrupan por organización para reducirlos y se hacen en transporte público donde es viable), </w:t>
            </w:r>
            <w:r>
              <w:rPr>
                <w:rFonts w:ascii="Calibri" w:hAnsi="Calibri"/>
                <w:b/>
                <w:color w:val="2B2B2B"/>
                <w:sz w:val="20"/>
              </w:rPr>
              <w:t>impresión de 300 ejemplares de la cartilla</w:t>
            </w:r>
            <w:r>
              <w:rPr>
                <w:rFonts w:ascii="Calibri" w:hAnsi="Calibri"/>
                <w:b w:val="0"/>
                <w:color w:val="2B2B2B"/>
                <w:sz w:val="20"/>
              </w:rPr>
              <w:t xml:space="preserve"> —se especifica papel con certificación de origen responsable, tiraje ajustado a los destinatarios reales y versión digital como opción preferente para quien la acepte— y </w:t>
            </w:r>
            <w:r>
              <w:rPr>
                <w:rFonts w:ascii="Calibri" w:hAnsi="Calibri"/>
                <w:b/>
                <w:color w:val="2B2B2B"/>
                <w:sz w:val="20"/>
              </w:rPr>
              <w:t>consumo energético en centros de datos de terceros</w:t>
            </w:r>
            <w:r>
              <w:rPr>
                <w:rFonts w:ascii="Calibri" w:hAnsi="Calibri"/>
                <w:b w:val="0"/>
                <w:color w:val="2B2B2B"/>
                <w:sz w:val="20"/>
              </w:rPr>
              <w:t xml:space="preserve"> por el uso del asistente de IA generativa y por el entrenamiento del detector. Este último se mitiga por diseño: *Isolation Forest* [11] tiene costo computacional bajo, opera con submuestreo y se ejecuta en un equipo ordinario sin acelerador, y las semillas fijadas evitan reejecuciones repetidas del mismo experimento. No se generan residuos electrónicos porque no se adquiere hardware.</w:t>
            </w:r>
          </w:p>
        </w:tc>
      </w:tr>
      <w:tr>
        <w:tc>
          <w:tcPr>
            <w:tcW w:type="dxa" w:w="4896"/>
            <w:shd w:val="clear" w:fill="F5F7F5"/>
            <w:shd w:val="clear" w:fill="F5F7F5"/>
          </w:tcPr>
          <w:p>
            <w:r/>
            <w:r>
              <w:rPr>
                <w:rFonts w:ascii="Calibri" w:hAnsi="Calibri"/>
                <w:b/>
                <w:color w:val="2B2B2B"/>
                <w:sz w:val="20"/>
              </w:rPr>
              <w:t>d) Garantía de respeto a los criterios básicos de propiedad intelectual y derechos de autor</w:t>
            </w:r>
          </w:p>
        </w:tc>
        <w:tc>
          <w:tcPr>
            <w:tcW w:type="dxa" w:w="4896"/>
            <w:shd w:val="clear" w:fill="F5F7F5"/>
            <w:shd w:val="clear" w:fill="F5F7F5"/>
          </w:tcPr>
          <w:p>
            <w:r/>
            <w:r>
              <w:rPr>
                <w:rFonts w:ascii="Calibri" w:hAnsi="Calibri"/>
                <w:b w:val="0"/>
                <w:color w:val="2B2B2B"/>
                <w:sz w:val="20"/>
              </w:rPr>
              <w:t xml:space="preserve">Cuatro planos. </w:t>
            </w:r>
            <w:r>
              <w:rPr>
                <w:rFonts w:ascii="Calibri" w:hAnsi="Calibri"/>
                <w:b/>
                <w:color w:val="2B2B2B"/>
                <w:sz w:val="20"/>
              </w:rPr>
              <w:t>Estándares de terceros:</w:t>
            </w:r>
            <w:r>
              <w:rPr>
                <w:rFonts w:ascii="Calibri" w:hAnsi="Calibri"/>
                <w:b w:val="0"/>
                <w:color w:val="2B2B2B"/>
                <w:sz w:val="20"/>
              </w:rPr>
              <w:t xml:space="preserve"> ISO/IEC 27001:2022 [4] e ISO/IEC 27002:2022 [5] son obras protegidas y de acceso pago; el proyecto </w:t>
            </w:r>
            <w:r>
              <w:rPr>
                <w:rFonts w:ascii="Calibri" w:hAnsi="Calibri"/>
                <w:b/>
                <w:color w:val="2B2B2B"/>
                <w:sz w:val="20"/>
              </w:rPr>
              <w:t>no reproduce ni redistribuye su texto</w:t>
            </w:r>
            <w:r>
              <w:rPr>
                <w:rFonts w:ascii="Calibri" w:hAnsi="Calibri"/>
                <w:b w:val="0"/>
                <w:color w:val="2B2B2B"/>
                <w:sz w:val="20"/>
              </w:rPr>
              <w:t xml:space="preserve">. Lo que se hace es lo lícito y además lo metodológicamente correcto: </w:t>
            </w:r>
            <w:r>
              <w:rPr>
                <w:rFonts w:ascii="Calibri" w:hAnsi="Calibri"/>
                <w:b/>
                <w:color w:val="2B2B2B"/>
                <w:sz w:val="20"/>
              </w:rPr>
              <w:t>citar el control por su identificador y redactar el ítem verificable con lenguaje propio</w:t>
            </w:r>
            <w:r>
              <w:rPr>
                <w:rFonts w:ascii="Calibri" w:hAnsi="Calibri"/>
                <w:b w:val="0"/>
                <w:color w:val="2B2B2B"/>
                <w:sz w:val="20"/>
              </w:rPr>
              <w:t xml:space="preserve">, orientado al deber legal colombiano. Ni el instrumento ni la cartilla contienen transcripciones del estándar, y así queda constancia en la matriz I1. Los marcos de [2], [3] y [15] son de acceso público y se citan con atribución. </w:t>
            </w:r>
            <w:r>
              <w:rPr>
                <w:rFonts w:ascii="Calibri" w:hAnsi="Calibri"/>
                <w:b/>
                <w:color w:val="2B2B2B"/>
                <w:sz w:val="20"/>
              </w:rPr>
              <w:t>Software y librerías:</w:t>
            </w:r>
            <w:r>
              <w:rPr>
                <w:rFonts w:ascii="Calibri" w:hAnsi="Calibri"/>
                <w:b w:val="0"/>
                <w:color w:val="2B2B2B"/>
                <w:sz w:val="20"/>
              </w:rPr>
              <w:t xml:space="preserve"> el prototipo se construye sobre </w:t>
            </w:r>
            <w:r>
              <w:rPr>
                <w:rFonts w:ascii="Consolas" w:hAnsi="Consolas"/>
                <w:color w:val="111111"/>
                <w:sz w:val="19"/>
              </w:rPr>
              <w:t>scikit-learn</w:t>
            </w:r>
            <w:r>
              <w:rPr>
                <w:rFonts w:ascii="Calibri" w:hAnsi="Calibri"/>
                <w:b w:val="0"/>
                <w:color w:val="2B2B2B"/>
                <w:sz w:val="20"/>
              </w:rPr>
              <w:t xml:space="preserve"> [21] y </w:t>
            </w:r>
            <w:r>
              <w:rPr>
                <w:rFonts w:ascii="Consolas" w:hAnsi="Consolas"/>
                <w:color w:val="111111"/>
                <w:sz w:val="19"/>
              </w:rPr>
              <w:t>pandas</w:t>
            </w:r>
            <w:r>
              <w:rPr>
                <w:rFonts w:ascii="Calibri" w:hAnsi="Calibri"/>
                <w:b w:val="0"/>
                <w:color w:val="2B2B2B"/>
                <w:sz w:val="20"/>
              </w:rPr>
              <w:t xml:space="preserve">, de licencia abierta, cuyos términos se respetan y cuya atribución se incluye en el cuaderno; no se usa software sin licencia. </w:t>
            </w:r>
            <w:r>
              <w:rPr>
                <w:rFonts w:ascii="Calibri" w:hAnsi="Calibri"/>
                <w:b/>
                <w:color w:val="2B2B2B"/>
                <w:sz w:val="20"/>
              </w:rPr>
              <w:t>Datos de las organizaciones:</w:t>
            </w:r>
            <w:r>
              <w:rPr>
                <w:rFonts w:ascii="Calibri" w:hAnsi="Calibri"/>
                <w:b w:val="0"/>
                <w:color w:val="2B2B2B"/>
                <w:sz w:val="20"/>
              </w:rPr>
              <w:t xml:space="preserve"> los registros anonimizados y la información de su operación pertenecen a cada organización; su uso se limita a lo autorizado en I6, no se transfieren a terceros y no se publican, y lo que se publica son resultados anonimizados. </w:t>
            </w:r>
            <w:r>
              <w:rPr>
                <w:rFonts w:ascii="Calibri" w:hAnsi="Calibri"/>
                <w:b/>
                <w:color w:val="2B2B2B"/>
                <w:sz w:val="20"/>
              </w:rPr>
              <w:t>Autoría y cesión:</w:t>
            </w:r>
            <w:r>
              <w:rPr>
                <w:rFonts w:ascii="Calibri" w:hAnsi="Calibri"/>
                <w:b w:val="0"/>
                <w:color w:val="2B2B2B"/>
                <w:sz w:val="20"/>
              </w:rPr>
              <w:t xml:space="preserve"> los productos —instrumento IDM-Pyme con su matriz y su guía, informe de diagnóstico, modelo de buenas prácticas, cartilla, prototipo documentado y manuscrito— se ceden a la institución conforme a la </w:t>
            </w:r>
            <w:r>
              <w:rPr>
                <w:rFonts w:ascii="Calibri" w:hAnsi="Calibri"/>
                <w:b/>
                <w:color w:val="2B2B2B"/>
                <w:sz w:val="20"/>
              </w:rPr>
              <w:t>carta de cesión de derechos del Anexo 1</w:t>
            </w:r>
            <w:r>
              <w:rPr>
                <w:rFonts w:ascii="Calibri" w:hAnsi="Calibri"/>
                <w:b w:val="0"/>
                <w:color w:val="2B2B2B"/>
                <w:sz w:val="20"/>
              </w:rPr>
              <w:t xml:space="preserve">, con reconocimiento de la autoría del investigador principal y </w:t>
            </w:r>
            <w:r>
              <w:rPr>
                <w:rFonts w:ascii="Calibri" w:hAnsi="Calibri"/>
                <w:b/>
                <w:color w:val="2B2B2B"/>
                <w:sz w:val="20"/>
              </w:rPr>
              <w:t>declaración explícita de la contribución del auxiliar de investigación</w:t>
            </w:r>
            <w:r>
              <w:rPr>
                <w:rFonts w:ascii="Calibri" w:hAnsi="Calibri"/>
                <w:b w:val="0"/>
                <w:color w:val="2B2B2B"/>
                <w:sz w:val="20"/>
              </w:rPr>
              <w:t xml:space="preserve">, cuyo trabajo de doble diagnóstico se acredita nominalmente en el anexo de fiabilidad. Sobre el uso de IA generativa en la elaboración de los productos, se aplica el mismo criterio que el modelo recomienda a las organizaciones: </w:t>
            </w:r>
            <w:r>
              <w:rPr>
                <w:rFonts w:ascii="Calibri" w:hAnsi="Calibri"/>
                <w:b/>
                <w:color w:val="2B2B2B"/>
                <w:sz w:val="20"/>
              </w:rPr>
              <w:t>el uso se declara</w:t>
            </w:r>
            <w:r>
              <w:rPr>
                <w:rFonts w:ascii="Calibri" w:hAnsi="Calibri"/>
                <w:b w:val="0"/>
                <w:color w:val="2B2B2B"/>
                <w:sz w:val="20"/>
              </w:rPr>
              <w:t xml:space="preserve"> —consta en el apartado anterior de este documento— y </w:t>
            </w:r>
            <w:r>
              <w:rPr>
                <w:rFonts w:ascii="Calibri" w:hAnsi="Calibri"/>
                <w:b/>
                <w:color w:val="2B2B2B"/>
                <w:sz w:val="20"/>
              </w:rPr>
              <w:t>no se atribuye autoría al proveedor del modelo, que no es autor ni coautor</w:t>
            </w:r>
            <w:r>
              <w:rPr>
                <w:rFonts w:ascii="Calibri" w:hAnsi="Calibri"/>
                <w:b w:val="0"/>
                <w:color w:val="2B2B2B"/>
                <w:sz w:val="20"/>
              </w:rPr>
              <w:t xml:space="preserve">; la responsabilidad intelectual del contenido es del investigador principal. Por último, el pendiente 9 mantiene abierta la verificación entrada por entrada de la lista de referencias contra el registro de cada editor: </w:t>
            </w:r>
            <w:r>
              <w:rPr>
                <w:rFonts w:ascii="Calibri" w:hAnsi="Calibri"/>
                <w:b/>
                <w:color w:val="2B2B2B"/>
                <w:sz w:val="20"/>
              </w:rPr>
              <w:t>no se declara realizada</w:t>
            </w:r>
            <w:r>
              <w:rPr>
                <w:rFonts w:ascii="Calibri" w:hAnsi="Calibri"/>
                <w:b w:val="0"/>
                <w:color w:val="2B2B2B"/>
                <w:sz w:val="20"/>
              </w:rPr>
              <w:t>, y hasta que lo esté ninguna afirmación de este documento se apoya en datos secundarios de un asiento no confirmado.</w:t>
            </w:r>
          </w:p>
        </w:tc>
      </w:tr>
    </w:tbl>
    <w:p/>
    <w:p>
      <w:pPr>
        <w:spacing w:before="200" w:after="60"/>
      </w:pPr>
      <w:r>
        <w:rPr>
          <w:rFonts w:ascii="Calibri" w:hAnsi="Calibri"/>
          <w:b/>
          <w:color w:val="007433"/>
          <w:sz w:val="32"/>
        </w:rPr>
        <w:t>Estructura de objetivos y actividades</w:t>
      </w:r>
    </w:p>
    <w:p>
      <w:r>
        <w:rPr>
          <w:rFonts w:ascii="Calibri" w:hAnsi="Calibri"/>
          <w:b/>
          <w:color w:val="2B2B2B"/>
          <w:sz w:val="22"/>
        </w:rPr>
        <w:t>Nota sobre las fechas.</w:t>
      </w:r>
      <w:r>
        <w:rPr>
          <w:rFonts w:ascii="Calibri" w:hAnsi="Calibri"/>
          <w:b w:val="0"/>
          <w:color w:val="2B2B2B"/>
          <w:sz w:val="22"/>
        </w:rPr>
        <w:t xml:space="preserve"> Las columnas de inicio y fin se expresan en **semanas relativas contadas desde</w:t>
      </w:r>
    </w:p>
    <w:p>
      <w:r>
        <w:rPr>
          <w:rFonts w:ascii="Calibri" w:hAnsi="Calibri"/>
          <w:b w:val="0"/>
          <w:color w:val="2B2B2B"/>
          <w:sz w:val="22"/>
        </w:rPr>
        <w:t>la firma del acta de inicio**, porque las fechas del cronograma institucional (numeral 9 de los Términos</w:t>
      </w:r>
    </w:p>
    <w:p>
      <w:r>
        <w:rPr>
          <w:rFonts w:ascii="Calibri" w:hAnsi="Calibri"/>
          <w:b w:val="0"/>
          <w:color w:val="2B2B2B"/>
          <w:sz w:val="22"/>
        </w:rPr>
        <w:t>de Referencia) ya transcurrieron y no se han confirmado nuevas (pendiente 4). El anclaje a calendario se</w:t>
      </w:r>
    </w:p>
    <w:p>
      <w:r>
        <w:rPr>
          <w:rFonts w:ascii="Calibri" w:hAnsi="Calibri"/>
          <w:b w:val="0"/>
          <w:color w:val="2B2B2B"/>
          <w:sz w:val="22"/>
        </w:rPr>
        <w:t>hará cuando la DNI confirme la fecha del acta de inicio. La numeración de actividades es **consecutiva a</w:t>
      </w:r>
    </w:p>
    <w:p>
      <w:r>
        <w:rPr>
          <w:rFonts w:ascii="Calibri" w:hAnsi="Calibri"/>
          <w:b w:val="0"/>
          <w:color w:val="2B2B2B"/>
          <w:sz w:val="22"/>
        </w:rPr>
        <w:t>través de los tres objetivos específicos, de 1 a 20, sin reiniciar en cada objetivo**, y es la misma que</w:t>
      </w:r>
    </w:p>
    <w:p>
      <w:r>
        <w:rPr>
          <w:rFonts w:ascii="Calibri" w:hAnsi="Calibri"/>
          <w:b w:val="0"/>
          <w:color w:val="2B2B2B"/>
          <w:sz w:val="22"/>
        </w:rPr>
        <w:t>referencia el cronograma y la que citan los productos.</w:t>
      </w:r>
    </w:p>
    <w:p>
      <w:pPr>
        <w:spacing w:before="200" w:after="60"/>
      </w:pPr>
      <w:r>
        <w:rPr>
          <w:rFonts w:ascii="Calibri" w:hAnsi="Calibri"/>
          <w:b/>
          <w:color w:val="007433"/>
          <w:sz w:val="32"/>
        </w:rPr>
        <w:t>Objetivo específico 1</w:t>
      </w:r>
    </w:p>
    <w:p>
      <w:r>
        <w:rPr>
          <w:rFonts w:ascii="Calibri" w:hAnsi="Calibri"/>
          <w:b w:val="0"/>
          <w:color w:val="2B2B2B"/>
          <w:sz w:val="22"/>
        </w:rPr>
        <w:t>Construir y validar el instrumento de diagnóstico de madurez, someterlo a juicio de tres expertos y</w:t>
      </w:r>
    </w:p>
    <w:p>
      <w:r>
        <w:rPr>
          <w:rFonts w:ascii="Calibri" w:hAnsi="Calibri"/>
          <w:b w:val="0"/>
          <w:color w:val="2B2B2B"/>
          <w:sz w:val="22"/>
        </w:rPr>
        <w:t>aplicarlo a las organizaciones participantes con doble calificación independiente en al menos dos de</w:t>
      </w:r>
    </w:p>
    <w:p>
      <w:r>
        <w:rPr>
          <w:rFonts w:ascii="Calibri" w:hAnsi="Calibri"/>
          <w:b w:val="0"/>
          <w:color w:val="2B2B2B"/>
          <w:sz w:val="22"/>
        </w:rPr>
        <w:t>ellas, reportando el acuerdo entre calificadores (</w:t>
      </w:r>
      <w:r>
        <w:rPr>
          <w:rFonts w:ascii="Calibri" w:hAnsi="Calibri"/>
          <w:b/>
          <w:color w:val="2B2B2B"/>
          <w:sz w:val="22"/>
        </w:rPr>
        <w:t>semanas 1 a 6</w:t>
      </w:r>
      <w:r>
        <w:rPr>
          <w:rFonts w:ascii="Calibri" w:hAnsi="Calibri"/>
          <w:b w:val="0"/>
          <w:color w:val="2B2B2B"/>
          <w:sz w:val="22"/>
        </w:rPr>
        <w:t>).</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fill="0C2340"/>
            <w:shd w:val="clear" w:fill="0C2340"/>
          </w:tcPr>
          <w:p>
            <w:r>
              <w:rPr>
                <w:rFonts w:ascii="Calibri" w:hAnsi="Calibri"/>
                <w:b/>
                <w:color w:val="FFFFFF"/>
              </w:rPr>
            </w:r>
            <w:r>
              <w:rPr>
                <w:rFonts w:ascii="Calibri" w:hAnsi="Calibri"/>
                <w:b/>
                <w:color w:val="FFFFFF"/>
                <w:sz w:val="21"/>
              </w:rPr>
              <w:t>#</w:t>
            </w:r>
          </w:p>
        </w:tc>
        <w:tc>
          <w:tcPr>
            <w:tcW w:type="dxa" w:w="1399"/>
            <w:shd w:val="clear" w:fill="0C2340"/>
            <w:shd w:val="clear" w:fill="0C2340"/>
          </w:tcPr>
          <w:p>
            <w:r>
              <w:rPr>
                <w:rFonts w:ascii="Calibri" w:hAnsi="Calibri"/>
                <w:b/>
                <w:color w:val="FFFFFF"/>
              </w:rPr>
            </w:r>
            <w:r>
              <w:rPr>
                <w:rFonts w:ascii="Calibri" w:hAnsi="Calibri"/>
                <w:b/>
                <w:color w:val="FFFFFF"/>
                <w:sz w:val="21"/>
              </w:rPr>
              <w:t>Actividad</w:t>
            </w:r>
          </w:p>
        </w:tc>
        <w:tc>
          <w:tcPr>
            <w:tcW w:type="dxa" w:w="1399"/>
            <w:shd w:val="clear" w:fill="0C2340"/>
            <w:shd w:val="clear" w:fill="0C2340"/>
          </w:tcPr>
          <w:p>
            <w:r>
              <w:rPr>
                <w:rFonts w:ascii="Calibri" w:hAnsi="Calibri"/>
                <w:b/>
                <w:color w:val="FFFFFF"/>
              </w:rPr>
            </w:r>
            <w:r>
              <w:rPr>
                <w:rFonts w:ascii="Calibri" w:hAnsi="Calibri"/>
                <w:b/>
                <w:color w:val="FFFFFF"/>
                <w:sz w:val="21"/>
              </w:rPr>
              <w:t>Resultado esperado</w:t>
            </w:r>
          </w:p>
        </w:tc>
        <w:tc>
          <w:tcPr>
            <w:tcW w:type="dxa" w:w="1399"/>
            <w:shd w:val="clear" w:fill="0C2340"/>
            <w:shd w:val="clear" w:fill="0C2340"/>
          </w:tcPr>
          <w:p>
            <w:r>
              <w:rPr>
                <w:rFonts w:ascii="Calibri" w:hAnsi="Calibri"/>
                <w:b/>
                <w:color w:val="FFFFFF"/>
              </w:rPr>
            </w:r>
            <w:r>
              <w:rPr>
                <w:rFonts w:ascii="Calibri" w:hAnsi="Calibri"/>
                <w:b/>
                <w:color w:val="FFFFFF"/>
                <w:sz w:val="21"/>
              </w:rPr>
              <w:t>Indicador de cumplimiento</w:t>
            </w:r>
          </w:p>
        </w:tc>
        <w:tc>
          <w:tcPr>
            <w:tcW w:type="dxa" w:w="1399"/>
            <w:shd w:val="clear" w:fill="0C2340"/>
            <w:shd w:val="clear" w:fill="0C2340"/>
          </w:tcPr>
          <w:p>
            <w:r>
              <w:rPr>
                <w:rFonts w:ascii="Calibri" w:hAnsi="Calibri"/>
                <w:b/>
                <w:color w:val="FFFFFF"/>
              </w:rPr>
            </w:r>
            <w:r>
              <w:rPr>
                <w:rFonts w:ascii="Calibri" w:hAnsi="Calibri"/>
                <w:b/>
                <w:color w:val="FFFFFF"/>
                <w:sz w:val="21"/>
              </w:rPr>
              <w:t>Medio de verificación</w:t>
            </w:r>
          </w:p>
        </w:tc>
        <w:tc>
          <w:tcPr>
            <w:tcW w:type="dxa" w:w="1399"/>
            <w:shd w:val="clear" w:fill="0C2340"/>
            <w:shd w:val="clear" w:fill="0C2340"/>
          </w:tcPr>
          <w:p>
            <w:r>
              <w:rPr>
                <w:rFonts w:ascii="Calibri" w:hAnsi="Calibri"/>
                <w:b/>
                <w:color w:val="FFFFFF"/>
              </w:rPr>
            </w:r>
            <w:r>
              <w:rPr>
                <w:rFonts w:ascii="Calibri" w:hAnsi="Calibri"/>
                <w:b/>
                <w:color w:val="FFFFFF"/>
                <w:sz w:val="21"/>
              </w:rPr>
              <w:t>Inicio</w:t>
            </w:r>
          </w:p>
        </w:tc>
        <w:tc>
          <w:tcPr>
            <w:tcW w:type="dxa" w:w="1399"/>
            <w:shd w:val="clear" w:fill="0C2340"/>
            <w:shd w:val="clear" w:fill="0C2340"/>
          </w:tcPr>
          <w:p>
            <w:r>
              <w:rPr>
                <w:rFonts w:ascii="Calibri" w:hAnsi="Calibri"/>
                <w:b/>
                <w:color w:val="FFFFFF"/>
              </w:rPr>
            </w:r>
            <w:r>
              <w:rPr>
                <w:rFonts w:ascii="Calibri" w:hAnsi="Calibri"/>
                <w:b/>
                <w:color w:val="FFFFFF"/>
                <w:sz w:val="21"/>
              </w:rPr>
              <w:t>Fin</w:t>
            </w:r>
          </w:p>
        </w:tc>
      </w:tr>
      <w:tr>
        <w:tc>
          <w:tcPr>
            <w:tcW w:type="dxa" w:w="1399"/>
          </w:tcPr>
          <w:p>
            <w:r/>
            <w:r>
              <w:rPr>
                <w:rFonts w:ascii="Calibri" w:hAnsi="Calibri"/>
                <w:b w:val="0"/>
                <w:color w:val="2B2B2B"/>
                <w:sz w:val="20"/>
              </w:rPr>
              <w:t>1</w:t>
            </w:r>
          </w:p>
        </w:tc>
        <w:tc>
          <w:tcPr>
            <w:tcW w:type="dxa" w:w="1399"/>
          </w:tcPr>
          <w:p>
            <w:r/>
            <w:r>
              <w:rPr>
                <w:rFonts w:ascii="Calibri" w:hAnsi="Calibri"/>
                <w:b w:val="0"/>
                <w:color w:val="2B2B2B"/>
                <w:sz w:val="20"/>
              </w:rPr>
              <w:t>Formalización del acceso y trámites habilitantes: contacto previo con la DNI (Parágrafo 2, numeral 5.1), gestión y firma del Anexo 3 por cada organización, y radicación ante el Comité de Ética del protocolo, el instrumento y el consentimiento informado</w:t>
            </w:r>
          </w:p>
        </w:tc>
        <w:tc>
          <w:tcPr>
            <w:tcW w:type="dxa" w:w="1399"/>
          </w:tcPr>
          <w:p>
            <w:r/>
            <w:r>
              <w:rPr>
                <w:rFonts w:ascii="Calibri" w:hAnsi="Calibri"/>
                <w:b w:val="0"/>
                <w:color w:val="2B2B2B"/>
                <w:sz w:val="20"/>
              </w:rPr>
              <w:t>Acceso formalizado y aval ético obtenido antes de cualquier recolección</w:t>
            </w:r>
          </w:p>
        </w:tc>
        <w:tc>
          <w:tcPr>
            <w:tcW w:type="dxa" w:w="1399"/>
          </w:tcPr>
          <w:p>
            <w:r/>
            <w:r>
              <w:rPr>
                <w:rFonts w:ascii="Calibri" w:hAnsi="Calibri"/>
                <w:b w:val="0"/>
                <w:color w:val="2B2B2B"/>
                <w:sz w:val="20"/>
              </w:rPr>
              <w:t>≥ 3 cartas de Anexo 3 firmadas y 1 acta o comunicación de aval del Comité de Ética</w:t>
            </w:r>
          </w:p>
        </w:tc>
        <w:tc>
          <w:tcPr>
            <w:tcW w:type="dxa" w:w="1399"/>
          </w:tcPr>
          <w:p>
            <w:r/>
            <w:r>
              <w:rPr>
                <w:rFonts w:ascii="Calibri" w:hAnsi="Calibri"/>
                <w:b w:val="0"/>
                <w:color w:val="2B2B2B"/>
                <w:sz w:val="20"/>
              </w:rPr>
              <w:t>Cartas firmadas, comunicación a la DNI y radicado del Comité de Ética</w:t>
            </w:r>
          </w:p>
        </w:tc>
        <w:tc>
          <w:tcPr>
            <w:tcW w:type="dxa" w:w="1399"/>
          </w:tcPr>
          <w:p>
            <w:r/>
            <w:r>
              <w:rPr>
                <w:rFonts w:ascii="Calibri" w:hAnsi="Calibri"/>
                <w:b w:val="0"/>
                <w:color w:val="2B2B2B"/>
                <w:sz w:val="20"/>
              </w:rPr>
              <w:t>Semana 1</w:t>
            </w:r>
          </w:p>
        </w:tc>
        <w:tc>
          <w:tcPr>
            <w:tcW w:type="dxa" w:w="1399"/>
          </w:tcPr>
          <w:p>
            <w:r/>
            <w:r>
              <w:rPr>
                <w:rFonts w:ascii="Calibri" w:hAnsi="Calibri"/>
                <w:b w:val="0"/>
                <w:color w:val="2B2B2B"/>
                <w:sz w:val="20"/>
              </w:rPr>
              <w:t>Semana 2</w:t>
            </w:r>
          </w:p>
        </w:tc>
      </w:tr>
      <w:tr>
        <w:tc>
          <w:tcPr>
            <w:tcW w:type="dxa" w:w="1399"/>
            <w:shd w:val="clear" w:fill="F5F7F5"/>
            <w:shd w:val="clear" w:fill="F5F7F5"/>
          </w:tcPr>
          <w:p>
            <w:r/>
            <w:r>
              <w:rPr>
                <w:rFonts w:ascii="Calibri" w:hAnsi="Calibri"/>
                <w:b w:val="0"/>
                <w:color w:val="2B2B2B"/>
                <w:sz w:val="20"/>
              </w:rPr>
              <w:t>2</w:t>
            </w:r>
          </w:p>
        </w:tc>
        <w:tc>
          <w:tcPr>
            <w:tcW w:type="dxa" w:w="1399"/>
            <w:shd w:val="clear" w:fill="F5F7F5"/>
            <w:shd w:val="clear" w:fill="F5F7F5"/>
          </w:tcPr>
          <w:p>
            <w:r/>
            <w:r>
              <w:rPr>
                <w:rFonts w:ascii="Calibri" w:hAnsi="Calibri"/>
                <w:b w:val="0"/>
                <w:color w:val="2B2B2B"/>
                <w:sz w:val="20"/>
              </w:rPr>
              <w:t>Construcción de la matriz de correspondencia deber legal ↔ control del estándar ↔ ítem verificable (I1), con verificación de cada afirmación normativa contra el texto oficial</w:t>
            </w:r>
          </w:p>
        </w:tc>
        <w:tc>
          <w:tcPr>
            <w:tcW w:type="dxa" w:w="1399"/>
            <w:shd w:val="clear" w:fill="F5F7F5"/>
            <w:shd w:val="clear" w:fill="F5F7F5"/>
          </w:tcPr>
          <w:p>
            <w:r/>
            <w:r>
              <w:rPr>
                <w:rFonts w:ascii="Calibri" w:hAnsi="Calibri"/>
                <w:b w:val="0"/>
                <w:color w:val="2B2B2B"/>
                <w:sz w:val="20"/>
              </w:rPr>
              <w:t>Matriz auditable que fundamenta la selección de controles</w:t>
            </w:r>
          </w:p>
        </w:tc>
        <w:tc>
          <w:tcPr>
            <w:tcW w:type="dxa" w:w="1399"/>
            <w:shd w:val="clear" w:fill="F5F7F5"/>
            <w:shd w:val="clear" w:fill="F5F7F5"/>
          </w:tcPr>
          <w:p>
            <w:r/>
            <w:r>
              <w:rPr>
                <w:rFonts w:ascii="Calibri" w:hAnsi="Calibri"/>
                <w:b w:val="0"/>
                <w:color w:val="2B2B2B"/>
                <w:sz w:val="20"/>
              </w:rPr>
              <w:t>100 % de los ítems del instrumento con fila en la matriz; ninguna fila sin deber legal ni sin verificación en sitio</w:t>
            </w:r>
          </w:p>
        </w:tc>
        <w:tc>
          <w:tcPr>
            <w:tcW w:type="dxa" w:w="1399"/>
            <w:shd w:val="clear" w:fill="F5F7F5"/>
            <w:shd w:val="clear" w:fill="F5F7F5"/>
          </w:tcPr>
          <w:p>
            <w:r/>
            <w:r>
              <w:rPr>
                <w:rFonts w:ascii="Calibri" w:hAnsi="Calibri"/>
                <w:b w:val="0"/>
                <w:color w:val="2B2B2B"/>
                <w:sz w:val="20"/>
              </w:rPr>
              <w:t>Matriz I1 en hoja de cálculo, con la referencia normativa y el control por fila</w:t>
            </w:r>
          </w:p>
        </w:tc>
        <w:tc>
          <w:tcPr>
            <w:tcW w:type="dxa" w:w="1399"/>
            <w:shd w:val="clear" w:fill="F5F7F5"/>
            <w:shd w:val="clear" w:fill="F5F7F5"/>
          </w:tcPr>
          <w:p>
            <w:r/>
            <w:r>
              <w:rPr>
                <w:rFonts w:ascii="Calibri" w:hAnsi="Calibri"/>
                <w:b w:val="0"/>
                <w:color w:val="2B2B2B"/>
                <w:sz w:val="20"/>
              </w:rPr>
              <w:t>Semana 1</w:t>
            </w:r>
          </w:p>
        </w:tc>
        <w:tc>
          <w:tcPr>
            <w:tcW w:type="dxa" w:w="1399"/>
            <w:shd w:val="clear" w:fill="F5F7F5"/>
            <w:shd w:val="clear" w:fill="F5F7F5"/>
          </w:tcPr>
          <w:p>
            <w:r/>
            <w:r>
              <w:rPr>
                <w:rFonts w:ascii="Calibri" w:hAnsi="Calibri"/>
                <w:b w:val="0"/>
                <w:color w:val="2B2B2B"/>
                <w:sz w:val="20"/>
              </w:rPr>
              <w:t>Semana 3</w:t>
            </w:r>
          </w:p>
        </w:tc>
      </w:tr>
      <w:tr>
        <w:tc>
          <w:tcPr>
            <w:tcW w:type="dxa" w:w="1399"/>
          </w:tcPr>
          <w:p>
            <w:r/>
            <w:r>
              <w:rPr>
                <w:rFonts w:ascii="Calibri" w:hAnsi="Calibri"/>
                <w:b w:val="0"/>
                <w:color w:val="2B2B2B"/>
                <w:sz w:val="20"/>
              </w:rPr>
              <w:t>3</w:t>
            </w:r>
          </w:p>
        </w:tc>
        <w:tc>
          <w:tcPr>
            <w:tcW w:type="dxa" w:w="1399"/>
          </w:tcPr>
          <w:p>
            <w:r/>
            <w:r>
              <w:rPr>
                <w:rFonts w:ascii="Calibri" w:hAnsi="Calibri"/>
                <w:b w:val="0"/>
                <w:color w:val="2B2B2B"/>
                <w:sz w:val="20"/>
              </w:rPr>
              <w:t>Redacción del instrumento IDM-Pyme (8 dimensiones, ítems, escala ordinal 0–3 con anclas), de su guía de aplicación y del formato de consentimiento informado (I2, I6)</w:t>
            </w:r>
          </w:p>
        </w:tc>
        <w:tc>
          <w:tcPr>
            <w:tcW w:type="dxa" w:w="1399"/>
          </w:tcPr>
          <w:p>
            <w:r/>
            <w:r>
              <w:rPr>
                <w:rFonts w:ascii="Calibri" w:hAnsi="Calibri"/>
                <w:b w:val="0"/>
                <w:color w:val="2B2B2B"/>
                <w:sz w:val="20"/>
              </w:rPr>
              <w:t>Instrumento y guía en versión 1, listos para juicio experto</w:t>
            </w:r>
          </w:p>
        </w:tc>
        <w:tc>
          <w:tcPr>
            <w:tcW w:type="dxa" w:w="1399"/>
          </w:tcPr>
          <w:p>
            <w:r/>
            <w:r>
              <w:rPr>
                <w:rFonts w:ascii="Calibri" w:hAnsi="Calibri"/>
                <w:b w:val="0"/>
                <w:color w:val="2B2B2B"/>
                <w:sz w:val="20"/>
              </w:rPr>
              <w:t>8 dimensiones operacionalizadas con anclas descritas para los 4 niveles y guía con criterio de evidencia por ítem</w:t>
            </w:r>
          </w:p>
        </w:tc>
        <w:tc>
          <w:tcPr>
            <w:tcW w:type="dxa" w:w="1399"/>
          </w:tcPr>
          <w:p>
            <w:r/>
            <w:r>
              <w:rPr>
                <w:rFonts w:ascii="Calibri" w:hAnsi="Calibri"/>
                <w:b w:val="0"/>
                <w:color w:val="2B2B2B"/>
                <w:sz w:val="20"/>
              </w:rPr>
              <w:t>Instrumento versión 1, guía de aplicación y formato I6</w:t>
            </w:r>
          </w:p>
        </w:tc>
        <w:tc>
          <w:tcPr>
            <w:tcW w:type="dxa" w:w="1399"/>
          </w:tcPr>
          <w:p>
            <w:r/>
            <w:r>
              <w:rPr>
                <w:rFonts w:ascii="Calibri" w:hAnsi="Calibri"/>
                <w:b w:val="0"/>
                <w:color w:val="2B2B2B"/>
                <w:sz w:val="20"/>
              </w:rPr>
              <w:t>Semana 2</w:t>
            </w:r>
          </w:p>
        </w:tc>
        <w:tc>
          <w:tcPr>
            <w:tcW w:type="dxa" w:w="1399"/>
          </w:tcPr>
          <w:p>
            <w:r/>
            <w:r>
              <w:rPr>
                <w:rFonts w:ascii="Calibri" w:hAnsi="Calibri"/>
                <w:b w:val="0"/>
                <w:color w:val="2B2B2B"/>
                <w:sz w:val="20"/>
              </w:rPr>
              <w:t>Semana 3</w:t>
            </w:r>
          </w:p>
        </w:tc>
      </w:tr>
      <w:tr>
        <w:tc>
          <w:tcPr>
            <w:tcW w:type="dxa" w:w="1399"/>
            <w:shd w:val="clear" w:fill="F5F7F5"/>
            <w:shd w:val="clear" w:fill="F5F7F5"/>
          </w:tcPr>
          <w:p>
            <w:r/>
            <w:r>
              <w:rPr>
                <w:rFonts w:ascii="Calibri" w:hAnsi="Calibri"/>
                <w:b w:val="0"/>
                <w:color w:val="2B2B2B"/>
                <w:sz w:val="20"/>
              </w:rPr>
              <w:t>4</w:t>
            </w:r>
          </w:p>
        </w:tc>
        <w:tc>
          <w:tcPr>
            <w:tcW w:type="dxa" w:w="1399"/>
            <w:shd w:val="clear" w:fill="F5F7F5"/>
            <w:shd w:val="clear" w:fill="F5F7F5"/>
          </w:tcPr>
          <w:p>
            <w:r/>
            <w:r>
              <w:rPr>
                <w:rFonts w:ascii="Calibri" w:hAnsi="Calibri"/>
                <w:b w:val="0"/>
                <w:color w:val="2B2B2B"/>
                <w:sz w:val="20"/>
              </w:rPr>
              <w:t>Juicio de contenido con 3 expertos por procedimiento tipo Lawshe (I3): calificación de esencialidad y claridad por ítem, depuración y reformulación</w:t>
            </w:r>
          </w:p>
        </w:tc>
        <w:tc>
          <w:tcPr>
            <w:tcW w:type="dxa" w:w="1399"/>
            <w:shd w:val="clear" w:fill="F5F7F5"/>
            <w:shd w:val="clear" w:fill="F5F7F5"/>
          </w:tcPr>
          <w:p>
            <w:r/>
            <w:r>
              <w:rPr>
                <w:rFonts w:ascii="Calibri" w:hAnsi="Calibri"/>
                <w:b w:val="0"/>
                <w:color w:val="2B2B2B"/>
                <w:sz w:val="20"/>
              </w:rPr>
              <w:t>Instrumento depurado, con evidencia parcial de validez de contenido y su límite declarado</w:t>
            </w:r>
          </w:p>
        </w:tc>
        <w:tc>
          <w:tcPr>
            <w:tcW w:type="dxa" w:w="1399"/>
            <w:shd w:val="clear" w:fill="F5F7F5"/>
            <w:shd w:val="clear" w:fill="F5F7F5"/>
          </w:tcPr>
          <w:p>
            <w:r/>
            <w:r>
              <w:rPr>
                <w:rFonts w:ascii="Calibri" w:hAnsi="Calibri"/>
                <w:b w:val="0"/>
                <w:color w:val="2B2B2B"/>
                <w:sz w:val="20"/>
              </w:rPr>
              <w:t>Índice de esencialidad reportado para el 100 % de los ítems; ítems eliminados o reformulados documentados con su motivo</w:t>
            </w:r>
          </w:p>
        </w:tc>
        <w:tc>
          <w:tcPr>
            <w:tcW w:type="dxa" w:w="1399"/>
            <w:shd w:val="clear" w:fill="F5F7F5"/>
            <w:shd w:val="clear" w:fill="F5F7F5"/>
          </w:tcPr>
          <w:p>
            <w:r/>
            <w:r>
              <w:rPr>
                <w:rFonts w:ascii="Calibri" w:hAnsi="Calibri"/>
                <w:b w:val="0"/>
                <w:color w:val="2B2B2B"/>
                <w:sz w:val="20"/>
              </w:rPr>
              <w:t>Formatos I3 diligenciados, matriz de índices y acta de depuración</w:t>
            </w:r>
          </w:p>
        </w:tc>
        <w:tc>
          <w:tcPr>
            <w:tcW w:type="dxa" w:w="1399"/>
            <w:shd w:val="clear" w:fill="F5F7F5"/>
            <w:shd w:val="clear" w:fill="F5F7F5"/>
          </w:tcPr>
          <w:p>
            <w:r/>
            <w:r>
              <w:rPr>
                <w:rFonts w:ascii="Calibri" w:hAnsi="Calibri"/>
                <w:b w:val="0"/>
                <w:color w:val="2B2B2B"/>
                <w:sz w:val="20"/>
              </w:rPr>
              <w:t>Semana 3</w:t>
            </w:r>
          </w:p>
        </w:tc>
        <w:tc>
          <w:tcPr>
            <w:tcW w:type="dxa" w:w="1399"/>
            <w:shd w:val="clear" w:fill="F5F7F5"/>
            <w:shd w:val="clear" w:fill="F5F7F5"/>
          </w:tcPr>
          <w:p>
            <w:r/>
            <w:r>
              <w:rPr>
                <w:rFonts w:ascii="Calibri" w:hAnsi="Calibri"/>
                <w:b w:val="0"/>
                <w:color w:val="2B2B2B"/>
                <w:sz w:val="20"/>
              </w:rPr>
              <w:t>Semana 4</w:t>
            </w:r>
          </w:p>
        </w:tc>
      </w:tr>
      <w:tr>
        <w:tc>
          <w:tcPr>
            <w:tcW w:type="dxa" w:w="1399"/>
          </w:tcPr>
          <w:p>
            <w:r/>
            <w:r>
              <w:rPr>
                <w:rFonts w:ascii="Calibri" w:hAnsi="Calibri"/>
                <w:b w:val="0"/>
                <w:color w:val="2B2B2B"/>
                <w:sz w:val="20"/>
              </w:rPr>
              <w:t>5</w:t>
            </w:r>
          </w:p>
        </w:tc>
        <w:tc>
          <w:tcPr>
            <w:tcW w:type="dxa" w:w="1399"/>
          </w:tcPr>
          <w:p>
            <w:r/>
            <w:r>
              <w:rPr>
                <w:rFonts w:ascii="Calibri" w:hAnsi="Calibri"/>
                <w:b w:val="0"/>
                <w:color w:val="2B2B2B"/>
                <w:sz w:val="20"/>
              </w:rPr>
              <w:t xml:space="preserve">Entrenamiento del segundo diagnosticador sobre las anclas, calificación paralela de casos documentales escritos, ajuste de redacción de anclas y </w:t>
            </w:r>
            <w:r>
              <w:rPr>
                <w:rFonts w:ascii="Calibri" w:hAnsi="Calibri"/>
                <w:b/>
                <w:color w:val="2B2B2B"/>
                <w:sz w:val="20"/>
              </w:rPr>
              <w:t>congelamiento fechado</w:t>
            </w:r>
            <w:r>
              <w:rPr>
                <w:rFonts w:ascii="Calibri" w:hAnsi="Calibri"/>
                <w:b w:val="0"/>
                <w:color w:val="2B2B2B"/>
                <w:sz w:val="20"/>
              </w:rPr>
              <w:t xml:space="preserve"> del instrumento y de los umbrales</w:t>
            </w:r>
          </w:p>
        </w:tc>
        <w:tc>
          <w:tcPr>
            <w:tcW w:type="dxa" w:w="1399"/>
          </w:tcPr>
          <w:p>
            <w:r/>
            <w:r>
              <w:rPr>
                <w:rFonts w:ascii="Calibri" w:hAnsi="Calibri"/>
                <w:b w:val="0"/>
                <w:color w:val="2B2B2B"/>
                <w:sz w:val="20"/>
              </w:rPr>
              <w:t>Calificador entrenado e instrumento congelado antes de la primera visita</w:t>
            </w:r>
          </w:p>
        </w:tc>
        <w:tc>
          <w:tcPr>
            <w:tcW w:type="dxa" w:w="1399"/>
          </w:tcPr>
          <w:p>
            <w:r/>
            <w:r>
              <w:rPr>
                <w:rFonts w:ascii="Calibri" w:hAnsi="Calibri"/>
                <w:b w:val="0"/>
                <w:color w:val="2B2B2B"/>
                <w:sz w:val="20"/>
              </w:rPr>
              <w:t>Casos de calibración calificados por 2 evaluadores, matriz de discrepancias resuelta y acta de congelamiento con el umbral α ≥ 0,70 escrito</w:t>
            </w:r>
          </w:p>
        </w:tc>
        <w:tc>
          <w:tcPr>
            <w:tcW w:type="dxa" w:w="1399"/>
          </w:tcPr>
          <w:p>
            <w:r/>
            <w:r>
              <w:rPr>
                <w:rFonts w:ascii="Calibri" w:hAnsi="Calibri"/>
                <w:b w:val="0"/>
                <w:color w:val="2B2B2B"/>
                <w:sz w:val="20"/>
              </w:rPr>
              <w:t>Registro de calibración, matriz de discrepancias y versión congelada fechada</w:t>
            </w:r>
          </w:p>
        </w:tc>
        <w:tc>
          <w:tcPr>
            <w:tcW w:type="dxa" w:w="1399"/>
          </w:tcPr>
          <w:p>
            <w:r/>
            <w:r>
              <w:rPr>
                <w:rFonts w:ascii="Calibri" w:hAnsi="Calibri"/>
                <w:b w:val="0"/>
                <w:color w:val="2B2B2B"/>
                <w:sz w:val="20"/>
              </w:rPr>
              <w:t>Semana 4</w:t>
            </w:r>
          </w:p>
        </w:tc>
        <w:tc>
          <w:tcPr>
            <w:tcW w:type="dxa" w:w="1399"/>
          </w:tcPr>
          <w:p>
            <w:r/>
            <w:r>
              <w:rPr>
                <w:rFonts w:ascii="Calibri" w:hAnsi="Calibri"/>
                <w:b w:val="0"/>
                <w:color w:val="2B2B2B"/>
                <w:sz w:val="20"/>
              </w:rPr>
              <w:t>Semana 4</w:t>
            </w:r>
          </w:p>
        </w:tc>
      </w:tr>
      <w:tr>
        <w:tc>
          <w:tcPr>
            <w:tcW w:type="dxa" w:w="1399"/>
            <w:shd w:val="clear" w:fill="F5F7F5"/>
            <w:shd w:val="clear" w:fill="F5F7F5"/>
          </w:tcPr>
          <w:p>
            <w:r/>
            <w:r>
              <w:rPr>
                <w:rFonts w:ascii="Calibri" w:hAnsi="Calibri"/>
                <w:b w:val="0"/>
                <w:color w:val="2B2B2B"/>
                <w:sz w:val="20"/>
              </w:rPr>
              <w:t>6</w:t>
            </w:r>
          </w:p>
        </w:tc>
        <w:tc>
          <w:tcPr>
            <w:tcW w:type="dxa" w:w="1399"/>
            <w:shd w:val="clear" w:fill="F5F7F5"/>
            <w:shd w:val="clear" w:fill="F5F7F5"/>
          </w:tcPr>
          <w:p>
            <w:r/>
            <w:r>
              <w:rPr>
                <w:rFonts w:ascii="Calibri" w:hAnsi="Calibri"/>
                <w:b w:val="0"/>
                <w:color w:val="2B2B2B"/>
                <w:sz w:val="20"/>
              </w:rPr>
              <w:t xml:space="preserve">Aplicación del instrumento en sitio a las 3 a 5 organizaciones: entrevista estructurada y verificación documental de las evidencias exhibidas voluntariamente, con </w:t>
            </w:r>
            <w:r>
              <w:rPr>
                <w:rFonts w:ascii="Calibri" w:hAnsi="Calibri"/>
                <w:b/>
                <w:color w:val="2B2B2B"/>
                <w:sz w:val="20"/>
              </w:rPr>
              <w:t>doble calificación independiente en al menos dos</w:t>
            </w:r>
            <w:r>
              <w:rPr>
                <w:rFonts w:ascii="Calibri" w:hAnsi="Calibri"/>
                <w:b w:val="0"/>
                <w:color w:val="2B2B2B"/>
                <w:sz w:val="20"/>
              </w:rPr>
              <w:t xml:space="preserve"> organizaciones</w:t>
            </w:r>
          </w:p>
        </w:tc>
        <w:tc>
          <w:tcPr>
            <w:tcW w:type="dxa" w:w="1399"/>
            <w:shd w:val="clear" w:fill="F5F7F5"/>
            <w:shd w:val="clear" w:fill="F5F7F5"/>
          </w:tcPr>
          <w:p>
            <w:r/>
            <w:r>
              <w:rPr>
                <w:rFonts w:ascii="Calibri" w:hAnsi="Calibri"/>
                <w:b w:val="0"/>
                <w:color w:val="2B2B2B"/>
                <w:sz w:val="20"/>
              </w:rPr>
              <w:t>Diagnóstico completo por organización, con base para estimar fiabilidad</w:t>
            </w:r>
          </w:p>
        </w:tc>
        <w:tc>
          <w:tcPr>
            <w:tcW w:type="dxa" w:w="1399"/>
            <w:shd w:val="clear" w:fill="F5F7F5"/>
            <w:shd w:val="clear" w:fill="F5F7F5"/>
          </w:tcPr>
          <w:p>
            <w:r/>
            <w:r>
              <w:rPr>
                <w:rFonts w:ascii="Calibri" w:hAnsi="Calibri"/>
                <w:b w:val="0"/>
                <w:color w:val="2B2B2B"/>
                <w:sz w:val="20"/>
              </w:rPr>
              <w:t>3 a 5 organizaciones con instrumento completo y ≥ 2 con dos calificaciones independientes de la misma visita</w:t>
            </w:r>
          </w:p>
        </w:tc>
        <w:tc>
          <w:tcPr>
            <w:tcW w:type="dxa" w:w="1399"/>
            <w:shd w:val="clear" w:fill="F5F7F5"/>
            <w:shd w:val="clear" w:fill="F5F7F5"/>
          </w:tcPr>
          <w:p>
            <w:r/>
            <w:r>
              <w:rPr>
                <w:rFonts w:ascii="Calibri" w:hAnsi="Calibri"/>
                <w:b w:val="0"/>
                <w:color w:val="2B2B2B"/>
                <w:sz w:val="20"/>
              </w:rPr>
              <w:t>Instrumentos diligenciados, actas de visita y consentimientos firmados</w:t>
            </w:r>
          </w:p>
        </w:tc>
        <w:tc>
          <w:tcPr>
            <w:tcW w:type="dxa" w:w="1399"/>
            <w:shd w:val="clear" w:fill="F5F7F5"/>
            <w:shd w:val="clear" w:fill="F5F7F5"/>
          </w:tcPr>
          <w:p>
            <w:r/>
            <w:r>
              <w:rPr>
                <w:rFonts w:ascii="Calibri" w:hAnsi="Calibri"/>
                <w:b w:val="0"/>
                <w:color w:val="2B2B2B"/>
                <w:sz w:val="20"/>
              </w:rPr>
              <w:t>Semana 4</w:t>
            </w:r>
          </w:p>
        </w:tc>
        <w:tc>
          <w:tcPr>
            <w:tcW w:type="dxa" w:w="1399"/>
            <w:shd w:val="clear" w:fill="F5F7F5"/>
            <w:shd w:val="clear" w:fill="F5F7F5"/>
          </w:tcPr>
          <w:p>
            <w:r/>
            <w:r>
              <w:rPr>
                <w:rFonts w:ascii="Calibri" w:hAnsi="Calibri"/>
                <w:b w:val="0"/>
                <w:color w:val="2B2B2B"/>
                <w:sz w:val="20"/>
              </w:rPr>
              <w:t>Semana 6</w:t>
            </w:r>
          </w:p>
        </w:tc>
      </w:tr>
      <w:tr>
        <w:tc>
          <w:tcPr>
            <w:tcW w:type="dxa" w:w="1399"/>
          </w:tcPr>
          <w:p>
            <w:r/>
            <w:r>
              <w:rPr>
                <w:rFonts w:ascii="Calibri" w:hAnsi="Calibri"/>
                <w:b w:val="0"/>
                <w:color w:val="2B2B2B"/>
                <w:sz w:val="20"/>
              </w:rPr>
              <w:t>7</w:t>
            </w:r>
          </w:p>
        </w:tc>
        <w:tc>
          <w:tcPr>
            <w:tcW w:type="dxa" w:w="1399"/>
          </w:tcPr>
          <w:p>
            <w:r/>
            <w:r>
              <w:rPr>
                <w:rFonts w:ascii="Calibri" w:hAnsi="Calibri"/>
                <w:b w:val="0"/>
                <w:color w:val="2B2B2B"/>
                <w:sz w:val="20"/>
              </w:rPr>
              <w:t xml:space="preserve">Cálculo del acuerdo entre calificadores (alfa de Krippendorff, umbral 0,70 fijado por adelantado), consolidación de los perfiles ordinales por dimensión y </w:t>
            </w:r>
            <w:r>
              <w:rPr>
                <w:rFonts w:ascii="Calibri" w:hAnsi="Calibri"/>
                <w:b/>
                <w:color w:val="2B2B2B"/>
                <w:sz w:val="20"/>
              </w:rPr>
              <w:t>declaración expresa</w:t>
            </w:r>
            <w:r>
              <w:rPr>
                <w:rFonts w:ascii="Calibri" w:hAnsi="Calibri"/>
                <w:b w:val="0"/>
                <w:color w:val="2B2B2B"/>
                <w:sz w:val="20"/>
              </w:rPr>
              <w:t xml:space="preserve"> del carácter establecido o exploratorio del diagnóstico</w:t>
            </w:r>
          </w:p>
        </w:tc>
        <w:tc>
          <w:tcPr>
            <w:tcW w:type="dxa" w:w="1399"/>
          </w:tcPr>
          <w:p>
            <w:r/>
            <w:r>
              <w:rPr>
                <w:rFonts w:ascii="Calibri" w:hAnsi="Calibri"/>
                <w:b w:val="0"/>
                <w:color w:val="2B2B2B"/>
                <w:sz w:val="20"/>
              </w:rPr>
              <w:t>Fiabilidad reportada y consecuencia del umbral aplicada sin reinterpretarla</w:t>
            </w:r>
          </w:p>
        </w:tc>
        <w:tc>
          <w:tcPr>
            <w:tcW w:type="dxa" w:w="1399"/>
          </w:tcPr>
          <w:p>
            <w:r/>
            <w:r>
              <w:rPr>
                <w:rFonts w:ascii="Calibri" w:hAnsi="Calibri"/>
                <w:b w:val="0"/>
                <w:color w:val="2B2B2B"/>
                <w:sz w:val="20"/>
              </w:rPr>
              <w:t>α calculado y reportado con n de ítems; desacuerdos publicados ítem por ítem; declaración escrita de si el diagnóstico es exploratorio</w:t>
            </w:r>
          </w:p>
        </w:tc>
        <w:tc>
          <w:tcPr>
            <w:tcW w:type="dxa" w:w="1399"/>
          </w:tcPr>
          <w:p>
            <w:r/>
            <w:r>
              <w:rPr>
                <w:rFonts w:ascii="Calibri" w:hAnsi="Calibri"/>
                <w:b w:val="0"/>
                <w:color w:val="2B2B2B"/>
                <w:sz w:val="20"/>
              </w:rPr>
              <w:t>Reporte de fiabilidad, anexo de desacuerdos y base de calificaciones crudas</w:t>
            </w:r>
          </w:p>
        </w:tc>
        <w:tc>
          <w:tcPr>
            <w:tcW w:type="dxa" w:w="1399"/>
          </w:tcPr>
          <w:p>
            <w:r/>
            <w:r>
              <w:rPr>
                <w:rFonts w:ascii="Calibri" w:hAnsi="Calibri"/>
                <w:b w:val="0"/>
                <w:color w:val="2B2B2B"/>
                <w:sz w:val="20"/>
              </w:rPr>
              <w:t>Semana 5</w:t>
            </w:r>
          </w:p>
        </w:tc>
        <w:tc>
          <w:tcPr>
            <w:tcW w:type="dxa" w:w="1399"/>
          </w:tcPr>
          <w:p>
            <w:r/>
            <w:r>
              <w:rPr>
                <w:rFonts w:ascii="Calibri" w:hAnsi="Calibri"/>
                <w:b w:val="0"/>
                <w:color w:val="2B2B2B"/>
                <w:sz w:val="20"/>
              </w:rPr>
              <w:t>Semana 6</w:t>
            </w:r>
          </w:p>
        </w:tc>
      </w:tr>
    </w:tbl>
    <w:p/>
    <w:p>
      <w:pPr>
        <w:spacing w:before="200" w:after="60"/>
      </w:pPr>
      <w:r>
        <w:rPr>
          <w:rFonts w:ascii="Calibri" w:hAnsi="Calibri"/>
          <w:b/>
          <w:color w:val="007433"/>
          <w:sz w:val="32"/>
        </w:rPr>
        <w:t>Objetivo específico 2</w:t>
      </w:r>
    </w:p>
    <w:p>
      <w:r>
        <w:rPr>
          <w:rFonts w:ascii="Calibri" w:hAnsi="Calibri"/>
          <w:b w:val="0"/>
          <w:color w:val="2B2B2B"/>
          <w:sz w:val="22"/>
        </w:rPr>
        <w:t>Caracterizar el nivel de madurez por dimensión y organización, identificar brechas comunes y específicas,</w:t>
      </w:r>
    </w:p>
    <w:p>
      <w:r>
        <w:rPr>
          <w:rFonts w:ascii="Calibri" w:hAnsi="Calibri"/>
          <w:b w:val="0"/>
          <w:color w:val="2B2B2B"/>
          <w:sz w:val="22"/>
        </w:rPr>
        <w:t>y diseñar y validar con los representantes el modelo de buenas prácticas y su versión divulgativa en</w:t>
      </w:r>
    </w:p>
    <w:p>
      <w:r>
        <w:rPr>
          <w:rFonts w:ascii="Calibri" w:hAnsi="Calibri"/>
          <w:b w:val="0"/>
          <w:color w:val="2B2B2B"/>
          <w:sz w:val="22"/>
        </w:rPr>
        <w:t>cartilla (</w:t>
      </w:r>
      <w:r>
        <w:rPr>
          <w:rFonts w:ascii="Calibri" w:hAnsi="Calibri"/>
          <w:b/>
          <w:color w:val="2B2B2B"/>
          <w:sz w:val="22"/>
        </w:rPr>
        <w:t>semanas 5 a 10</w:t>
      </w:r>
      <w:r>
        <w:rPr>
          <w:rFonts w:ascii="Calibri" w:hAnsi="Calibri"/>
          <w:b w:val="0"/>
          <w:color w:val="2B2B2B"/>
          <w:sz w:val="22"/>
        </w:rPr>
        <w:t>).</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fill="0C2340"/>
            <w:shd w:val="clear" w:fill="0C2340"/>
          </w:tcPr>
          <w:p>
            <w:r>
              <w:rPr>
                <w:rFonts w:ascii="Calibri" w:hAnsi="Calibri"/>
                <w:b/>
                <w:color w:val="FFFFFF"/>
              </w:rPr>
            </w:r>
            <w:r>
              <w:rPr>
                <w:rFonts w:ascii="Calibri" w:hAnsi="Calibri"/>
                <w:b/>
                <w:color w:val="FFFFFF"/>
                <w:sz w:val="21"/>
              </w:rPr>
              <w:t>#</w:t>
            </w:r>
          </w:p>
        </w:tc>
        <w:tc>
          <w:tcPr>
            <w:tcW w:type="dxa" w:w="1399"/>
            <w:shd w:val="clear" w:fill="0C2340"/>
            <w:shd w:val="clear" w:fill="0C2340"/>
          </w:tcPr>
          <w:p>
            <w:r>
              <w:rPr>
                <w:rFonts w:ascii="Calibri" w:hAnsi="Calibri"/>
                <w:b/>
                <w:color w:val="FFFFFF"/>
              </w:rPr>
            </w:r>
            <w:r>
              <w:rPr>
                <w:rFonts w:ascii="Calibri" w:hAnsi="Calibri"/>
                <w:b/>
                <w:color w:val="FFFFFF"/>
                <w:sz w:val="21"/>
              </w:rPr>
              <w:t>Actividad</w:t>
            </w:r>
          </w:p>
        </w:tc>
        <w:tc>
          <w:tcPr>
            <w:tcW w:type="dxa" w:w="1399"/>
            <w:shd w:val="clear" w:fill="0C2340"/>
            <w:shd w:val="clear" w:fill="0C2340"/>
          </w:tcPr>
          <w:p>
            <w:r>
              <w:rPr>
                <w:rFonts w:ascii="Calibri" w:hAnsi="Calibri"/>
                <w:b/>
                <w:color w:val="FFFFFF"/>
              </w:rPr>
            </w:r>
            <w:r>
              <w:rPr>
                <w:rFonts w:ascii="Calibri" w:hAnsi="Calibri"/>
                <w:b/>
                <w:color w:val="FFFFFF"/>
                <w:sz w:val="21"/>
              </w:rPr>
              <w:t>Resultado esperado</w:t>
            </w:r>
          </w:p>
        </w:tc>
        <w:tc>
          <w:tcPr>
            <w:tcW w:type="dxa" w:w="1399"/>
            <w:shd w:val="clear" w:fill="0C2340"/>
            <w:shd w:val="clear" w:fill="0C2340"/>
          </w:tcPr>
          <w:p>
            <w:r>
              <w:rPr>
                <w:rFonts w:ascii="Calibri" w:hAnsi="Calibri"/>
                <w:b/>
                <w:color w:val="FFFFFF"/>
              </w:rPr>
            </w:r>
            <w:r>
              <w:rPr>
                <w:rFonts w:ascii="Calibri" w:hAnsi="Calibri"/>
                <w:b/>
                <w:color w:val="FFFFFF"/>
                <w:sz w:val="21"/>
              </w:rPr>
              <w:t>Indicador de cumplimiento</w:t>
            </w:r>
          </w:p>
        </w:tc>
        <w:tc>
          <w:tcPr>
            <w:tcW w:type="dxa" w:w="1399"/>
            <w:shd w:val="clear" w:fill="0C2340"/>
            <w:shd w:val="clear" w:fill="0C2340"/>
          </w:tcPr>
          <w:p>
            <w:r>
              <w:rPr>
                <w:rFonts w:ascii="Calibri" w:hAnsi="Calibri"/>
                <w:b/>
                <w:color w:val="FFFFFF"/>
              </w:rPr>
            </w:r>
            <w:r>
              <w:rPr>
                <w:rFonts w:ascii="Calibri" w:hAnsi="Calibri"/>
                <w:b/>
                <w:color w:val="FFFFFF"/>
                <w:sz w:val="21"/>
              </w:rPr>
              <w:t>Medio de verificación</w:t>
            </w:r>
          </w:p>
        </w:tc>
        <w:tc>
          <w:tcPr>
            <w:tcW w:type="dxa" w:w="1399"/>
            <w:shd w:val="clear" w:fill="0C2340"/>
            <w:shd w:val="clear" w:fill="0C2340"/>
          </w:tcPr>
          <w:p>
            <w:r>
              <w:rPr>
                <w:rFonts w:ascii="Calibri" w:hAnsi="Calibri"/>
                <w:b/>
                <w:color w:val="FFFFFF"/>
              </w:rPr>
            </w:r>
            <w:r>
              <w:rPr>
                <w:rFonts w:ascii="Calibri" w:hAnsi="Calibri"/>
                <w:b/>
                <w:color w:val="FFFFFF"/>
                <w:sz w:val="21"/>
              </w:rPr>
              <w:t>Inicio</w:t>
            </w:r>
          </w:p>
        </w:tc>
        <w:tc>
          <w:tcPr>
            <w:tcW w:type="dxa" w:w="1399"/>
            <w:shd w:val="clear" w:fill="0C2340"/>
            <w:shd w:val="clear" w:fill="0C2340"/>
          </w:tcPr>
          <w:p>
            <w:r>
              <w:rPr>
                <w:rFonts w:ascii="Calibri" w:hAnsi="Calibri"/>
                <w:b/>
                <w:color w:val="FFFFFF"/>
              </w:rPr>
            </w:r>
            <w:r>
              <w:rPr>
                <w:rFonts w:ascii="Calibri" w:hAnsi="Calibri"/>
                <w:b/>
                <w:color w:val="FFFFFF"/>
                <w:sz w:val="21"/>
              </w:rPr>
              <w:t>Fin</w:t>
            </w:r>
          </w:p>
        </w:tc>
      </w:tr>
      <w:tr>
        <w:tc>
          <w:tcPr>
            <w:tcW w:type="dxa" w:w="1399"/>
          </w:tcPr>
          <w:p>
            <w:r/>
            <w:r>
              <w:rPr>
                <w:rFonts w:ascii="Calibri" w:hAnsi="Calibri"/>
                <w:b w:val="0"/>
                <w:color w:val="2B2B2B"/>
                <w:sz w:val="20"/>
              </w:rPr>
              <w:t>8</w:t>
            </w:r>
          </w:p>
        </w:tc>
        <w:tc>
          <w:tcPr>
            <w:tcW w:type="dxa" w:w="1399"/>
          </w:tcPr>
          <w:p>
            <w:r/>
            <w:r>
              <w:rPr>
                <w:rFonts w:ascii="Calibri" w:hAnsi="Calibri"/>
                <w:b w:val="0"/>
                <w:color w:val="2B2B2B"/>
                <w:sz w:val="20"/>
              </w:rPr>
              <w:t xml:space="preserve">Caracterización de la madurez: perfiles de 8 dimensiones por organización y agregado, identificación de brechas comunes y específicas y contraste </w:t>
            </w:r>
            <w:r>
              <w:rPr>
                <w:rFonts w:ascii="Calibri" w:hAnsi="Calibri"/>
                <w:b/>
                <w:color w:val="2B2B2B"/>
                <w:sz w:val="20"/>
              </w:rPr>
              <w:t>descriptivo</w:t>
            </w:r>
            <w:r>
              <w:rPr>
                <w:rFonts w:ascii="Calibri" w:hAnsi="Calibri"/>
                <w:b w:val="0"/>
                <w:color w:val="2B2B2B"/>
                <w:sz w:val="20"/>
              </w:rPr>
              <w:t xml:space="preserve"> de H1 entre los bloques {D1, D2, D3} y {D4, D5, D7}, con D6 y D8 reportadas aparte</w:t>
            </w:r>
          </w:p>
        </w:tc>
        <w:tc>
          <w:tcPr>
            <w:tcW w:type="dxa" w:w="1399"/>
          </w:tcPr>
          <w:p>
            <w:r/>
            <w:r>
              <w:rPr>
                <w:rFonts w:ascii="Calibri" w:hAnsi="Calibri"/>
                <w:b w:val="0"/>
                <w:color w:val="2B2B2B"/>
                <w:sz w:val="20"/>
              </w:rPr>
              <w:t>Línea base de madurez documentada y H1 contrastada sin sobreinterpretación</w:t>
            </w:r>
          </w:p>
        </w:tc>
        <w:tc>
          <w:tcPr>
            <w:tcW w:type="dxa" w:w="1399"/>
          </w:tcPr>
          <w:p>
            <w:r/>
            <w:r>
              <w:rPr>
                <w:rFonts w:ascii="Calibri" w:hAnsi="Calibri"/>
                <w:b w:val="0"/>
                <w:color w:val="2B2B2B"/>
                <w:sz w:val="20"/>
              </w:rPr>
              <w:t>Perfiles completos de todas las organizaciones diagnosticadas y veredicto escrito sobre H1, sin pruebas de significación</w:t>
            </w:r>
          </w:p>
        </w:tc>
        <w:tc>
          <w:tcPr>
            <w:tcW w:type="dxa" w:w="1399"/>
          </w:tcPr>
          <w:p>
            <w:r/>
            <w:r>
              <w:rPr>
                <w:rFonts w:ascii="Calibri" w:hAnsi="Calibri"/>
                <w:b w:val="0"/>
                <w:color w:val="2B2B2B"/>
                <w:sz w:val="20"/>
              </w:rPr>
              <w:t>Informe de diagnóstico con perfiles, matriz de brechas y anexo de datos crudos</w:t>
            </w:r>
          </w:p>
        </w:tc>
        <w:tc>
          <w:tcPr>
            <w:tcW w:type="dxa" w:w="1399"/>
          </w:tcPr>
          <w:p>
            <w:r/>
            <w:r>
              <w:rPr>
                <w:rFonts w:ascii="Calibri" w:hAnsi="Calibri"/>
                <w:b w:val="0"/>
                <w:color w:val="2B2B2B"/>
                <w:sz w:val="20"/>
              </w:rPr>
              <w:t>Semana 5</w:t>
            </w:r>
          </w:p>
        </w:tc>
        <w:tc>
          <w:tcPr>
            <w:tcW w:type="dxa" w:w="1399"/>
          </w:tcPr>
          <w:p>
            <w:r/>
            <w:r>
              <w:rPr>
                <w:rFonts w:ascii="Calibri" w:hAnsi="Calibri"/>
                <w:b w:val="0"/>
                <w:color w:val="2B2B2B"/>
                <w:sz w:val="20"/>
              </w:rPr>
              <w:t>Semana 7</w:t>
            </w:r>
          </w:p>
        </w:tc>
      </w:tr>
      <w:tr>
        <w:tc>
          <w:tcPr>
            <w:tcW w:type="dxa" w:w="1399"/>
            <w:shd w:val="clear" w:fill="F5F7F5"/>
            <w:shd w:val="clear" w:fill="F5F7F5"/>
          </w:tcPr>
          <w:p>
            <w:r/>
            <w:r>
              <w:rPr>
                <w:rFonts w:ascii="Calibri" w:hAnsi="Calibri"/>
                <w:b w:val="0"/>
                <w:color w:val="2B2B2B"/>
                <w:sz w:val="20"/>
              </w:rPr>
              <w:t>9</w:t>
            </w:r>
          </w:p>
        </w:tc>
        <w:tc>
          <w:tcPr>
            <w:tcW w:type="dxa" w:w="1399"/>
            <w:shd w:val="clear" w:fill="F5F7F5"/>
            <w:shd w:val="clear" w:fill="F5F7F5"/>
          </w:tcPr>
          <w:p>
            <w:r/>
            <w:r>
              <w:rPr>
                <w:rFonts w:ascii="Calibri" w:hAnsi="Calibri"/>
                <w:b w:val="0"/>
                <w:color w:val="2B2B2B"/>
                <w:sz w:val="20"/>
              </w:rPr>
              <w:t>Entrevistas semiestructuradas con los representantes (I4) y codificación de las respuestas abiertas con libro de códigos, codificación asistida por IA y codificación humana de contraste con acuerdo reportado</w:t>
            </w:r>
          </w:p>
        </w:tc>
        <w:tc>
          <w:tcPr>
            <w:tcW w:type="dxa" w:w="1399"/>
            <w:shd w:val="clear" w:fill="F5F7F5"/>
            <w:shd w:val="clear" w:fill="F5F7F5"/>
          </w:tcPr>
          <w:p>
            <w:r/>
            <w:r>
              <w:rPr>
                <w:rFonts w:ascii="Calibri" w:hAnsi="Calibri"/>
                <w:b w:val="0"/>
                <w:color w:val="2B2B2B"/>
                <w:sz w:val="20"/>
              </w:rPr>
              <w:t>Razones de las brechas identificadas, que la calificación ordinal no contiene</w:t>
            </w:r>
          </w:p>
        </w:tc>
        <w:tc>
          <w:tcPr>
            <w:tcW w:type="dxa" w:w="1399"/>
            <w:shd w:val="clear" w:fill="F5F7F5"/>
            <w:shd w:val="clear" w:fill="F5F7F5"/>
          </w:tcPr>
          <w:p>
            <w:r/>
            <w:r>
              <w:rPr>
                <w:rFonts w:ascii="Calibri" w:hAnsi="Calibri"/>
                <w:b w:val="0"/>
                <w:color w:val="2B2B2B"/>
                <w:sz w:val="20"/>
              </w:rPr>
              <w:t>1 entrevista por organización, transcrita y codificada; libro de códigos entregado y acuerdo entre codificación asistida y humana reportado</w:t>
            </w:r>
          </w:p>
        </w:tc>
        <w:tc>
          <w:tcPr>
            <w:tcW w:type="dxa" w:w="1399"/>
            <w:shd w:val="clear" w:fill="F5F7F5"/>
            <w:shd w:val="clear" w:fill="F5F7F5"/>
          </w:tcPr>
          <w:p>
            <w:r/>
            <w:r>
              <w:rPr>
                <w:rFonts w:ascii="Calibri" w:hAnsi="Calibri"/>
                <w:b w:val="0"/>
                <w:color w:val="2B2B2B"/>
                <w:sz w:val="20"/>
              </w:rPr>
              <w:t>Consentimientos, transcripciones seudonimizadas, libro de códigos y reporte de acuerdo</w:t>
            </w:r>
          </w:p>
        </w:tc>
        <w:tc>
          <w:tcPr>
            <w:tcW w:type="dxa" w:w="1399"/>
            <w:shd w:val="clear" w:fill="F5F7F5"/>
            <w:shd w:val="clear" w:fill="F5F7F5"/>
          </w:tcPr>
          <w:p>
            <w:r/>
            <w:r>
              <w:rPr>
                <w:rFonts w:ascii="Calibri" w:hAnsi="Calibri"/>
                <w:b w:val="0"/>
                <w:color w:val="2B2B2B"/>
                <w:sz w:val="20"/>
              </w:rPr>
              <w:t>Semana 6</w:t>
            </w:r>
          </w:p>
        </w:tc>
        <w:tc>
          <w:tcPr>
            <w:tcW w:type="dxa" w:w="1399"/>
            <w:shd w:val="clear" w:fill="F5F7F5"/>
            <w:shd w:val="clear" w:fill="F5F7F5"/>
          </w:tcPr>
          <w:p>
            <w:r/>
            <w:r>
              <w:rPr>
                <w:rFonts w:ascii="Calibri" w:hAnsi="Calibri"/>
                <w:b w:val="0"/>
                <w:color w:val="2B2B2B"/>
                <w:sz w:val="20"/>
              </w:rPr>
              <w:t>Semana 7</w:t>
            </w:r>
          </w:p>
        </w:tc>
      </w:tr>
      <w:tr>
        <w:tc>
          <w:tcPr>
            <w:tcW w:type="dxa" w:w="1399"/>
          </w:tcPr>
          <w:p>
            <w:r/>
            <w:r>
              <w:rPr>
                <w:rFonts w:ascii="Calibri" w:hAnsi="Calibri"/>
                <w:b w:val="0"/>
                <w:color w:val="2B2B2B"/>
                <w:sz w:val="20"/>
              </w:rPr>
              <w:t>10</w:t>
            </w:r>
          </w:p>
        </w:tc>
        <w:tc>
          <w:tcPr>
            <w:tcW w:type="dxa" w:w="1399"/>
          </w:tcPr>
          <w:p>
            <w:r/>
            <w:r>
              <w:rPr>
                <w:rFonts w:ascii="Calibri" w:hAnsi="Calibri"/>
                <w:b/>
                <w:color w:val="2B2B2B"/>
                <w:sz w:val="20"/>
              </w:rPr>
              <w:t>Punto de integración de las dos hebras:</w:t>
            </w:r>
            <w:r>
              <w:rPr>
                <w:rFonts w:ascii="Calibri" w:hAnsi="Calibri"/>
                <w:b w:val="0"/>
                <w:color w:val="2B2B2B"/>
                <w:sz w:val="20"/>
              </w:rPr>
              <w:t xml:space="preserve"> diseño de la versión 1 del modelo de buenas prácticas —lista de verificación y protocolo operativo— con cada recomendación anclada a una dimensión deficitaria y a la restricción real revelada por la entrevista, incluido el apartado de uso de asistentes de IA generativa por la organización</w:t>
            </w:r>
          </w:p>
        </w:tc>
        <w:tc>
          <w:tcPr>
            <w:tcW w:type="dxa" w:w="1399"/>
          </w:tcPr>
          <w:p>
            <w:r/>
            <w:r>
              <w:rPr>
                <w:rFonts w:ascii="Calibri" w:hAnsi="Calibri"/>
                <w:b w:val="0"/>
                <w:color w:val="2B2B2B"/>
                <w:sz w:val="20"/>
              </w:rPr>
              <w:t>Modelo versión 1, derivado de las brechas y no de una plantilla previa</w:t>
            </w:r>
          </w:p>
        </w:tc>
        <w:tc>
          <w:tcPr>
            <w:tcW w:type="dxa" w:w="1399"/>
          </w:tcPr>
          <w:p>
            <w:r/>
            <w:r>
              <w:rPr>
                <w:rFonts w:ascii="Calibri" w:hAnsi="Calibri"/>
                <w:b w:val="0"/>
                <w:color w:val="2B2B2B"/>
                <w:sz w:val="20"/>
              </w:rPr>
              <w:t>100 % de las recomendaciones con dimensión de origen y restricción atendida declaradas; apartado de IA generativa incluido</w:t>
            </w:r>
          </w:p>
        </w:tc>
        <w:tc>
          <w:tcPr>
            <w:tcW w:type="dxa" w:w="1399"/>
          </w:tcPr>
          <w:p>
            <w:r/>
            <w:r>
              <w:rPr>
                <w:rFonts w:ascii="Calibri" w:hAnsi="Calibri"/>
                <w:b w:val="0"/>
                <w:color w:val="2B2B2B"/>
                <w:sz w:val="20"/>
              </w:rPr>
              <w:t>Modelo versión 1 con su matriz de trazabilidad recomendación → dimensión → restricción</w:t>
            </w:r>
          </w:p>
        </w:tc>
        <w:tc>
          <w:tcPr>
            <w:tcW w:type="dxa" w:w="1399"/>
          </w:tcPr>
          <w:p>
            <w:r/>
            <w:r>
              <w:rPr>
                <w:rFonts w:ascii="Calibri" w:hAnsi="Calibri"/>
                <w:b w:val="0"/>
                <w:color w:val="2B2B2B"/>
                <w:sz w:val="20"/>
              </w:rPr>
              <w:t>Semana 7</w:t>
            </w:r>
          </w:p>
        </w:tc>
        <w:tc>
          <w:tcPr>
            <w:tcW w:type="dxa" w:w="1399"/>
          </w:tcPr>
          <w:p>
            <w:r/>
            <w:r>
              <w:rPr>
                <w:rFonts w:ascii="Calibri" w:hAnsi="Calibri"/>
                <w:b w:val="0"/>
                <w:color w:val="2B2B2B"/>
                <w:sz w:val="20"/>
              </w:rPr>
              <w:t>Semana 8</w:t>
            </w:r>
          </w:p>
        </w:tc>
      </w:tr>
      <w:tr>
        <w:tc>
          <w:tcPr>
            <w:tcW w:type="dxa" w:w="1399"/>
            <w:shd w:val="clear" w:fill="F5F7F5"/>
            <w:shd w:val="clear" w:fill="F5F7F5"/>
          </w:tcPr>
          <w:p>
            <w:r/>
            <w:r>
              <w:rPr>
                <w:rFonts w:ascii="Calibri" w:hAnsi="Calibri"/>
                <w:b w:val="0"/>
                <w:color w:val="2B2B2B"/>
                <w:sz w:val="20"/>
              </w:rPr>
              <w:t>11</w:t>
            </w:r>
          </w:p>
        </w:tc>
        <w:tc>
          <w:tcPr>
            <w:tcW w:type="dxa" w:w="1399"/>
            <w:shd w:val="clear" w:fill="F5F7F5"/>
            <w:shd w:val="clear" w:fill="F5F7F5"/>
          </w:tcPr>
          <w:p>
            <w:r/>
            <w:r>
              <w:rPr>
                <w:rFonts w:ascii="Calibri" w:hAnsi="Calibri"/>
                <w:b w:val="0"/>
                <w:color w:val="2B2B2B"/>
                <w:sz w:val="20"/>
              </w:rPr>
              <w:t>Validación del modelo con los representantes mediante I5: calificación de cada recomendación como aplicable con recursos propios, aplicable con apoyo externo puntual o no aplicable, con motivo obligatorio</w:t>
            </w:r>
          </w:p>
        </w:tc>
        <w:tc>
          <w:tcPr>
            <w:tcW w:type="dxa" w:w="1399"/>
            <w:shd w:val="clear" w:fill="F5F7F5"/>
            <w:shd w:val="clear" w:fill="F5F7F5"/>
          </w:tcPr>
          <w:p>
            <w:r/>
            <w:r>
              <w:rPr>
                <w:rFonts w:ascii="Calibri" w:hAnsi="Calibri"/>
                <w:b w:val="0"/>
                <w:color w:val="2B2B2B"/>
                <w:sz w:val="20"/>
              </w:rPr>
              <w:t>Aplicabilidad juzgada por los destinatarios y H3 contrastada</w:t>
            </w:r>
          </w:p>
        </w:tc>
        <w:tc>
          <w:tcPr>
            <w:tcW w:type="dxa" w:w="1399"/>
            <w:shd w:val="clear" w:fill="F5F7F5"/>
            <w:shd w:val="clear" w:fill="F5F7F5"/>
          </w:tcPr>
          <w:p>
            <w:r/>
            <w:r>
              <w:rPr>
                <w:rFonts w:ascii="Calibri" w:hAnsi="Calibri"/>
                <w:b w:val="0"/>
                <w:color w:val="2B2B2B"/>
                <w:sz w:val="20"/>
              </w:rPr>
              <w:t>I5 diligenciado por el 100 % de las organizaciones; porcentaje de recomendaciones aplicables con recursos propios calculado frente al umbral del 70 %</w:t>
            </w:r>
          </w:p>
        </w:tc>
        <w:tc>
          <w:tcPr>
            <w:tcW w:type="dxa" w:w="1399"/>
            <w:shd w:val="clear" w:fill="F5F7F5"/>
            <w:shd w:val="clear" w:fill="F5F7F5"/>
          </w:tcPr>
          <w:p>
            <w:r/>
            <w:r>
              <w:rPr>
                <w:rFonts w:ascii="Calibri" w:hAnsi="Calibri"/>
                <w:b w:val="0"/>
                <w:color w:val="2B2B2B"/>
                <w:sz w:val="20"/>
              </w:rPr>
              <w:t>Formatos I5 diligenciados, actas de la sesión de validación y catálogo razonado de rechazos</w:t>
            </w:r>
          </w:p>
        </w:tc>
        <w:tc>
          <w:tcPr>
            <w:tcW w:type="dxa" w:w="1399"/>
            <w:shd w:val="clear" w:fill="F5F7F5"/>
            <w:shd w:val="clear" w:fill="F5F7F5"/>
          </w:tcPr>
          <w:p>
            <w:r/>
            <w:r>
              <w:rPr>
                <w:rFonts w:ascii="Calibri" w:hAnsi="Calibri"/>
                <w:b w:val="0"/>
                <w:color w:val="2B2B2B"/>
                <w:sz w:val="20"/>
              </w:rPr>
              <w:t>Semana 8</w:t>
            </w:r>
          </w:p>
        </w:tc>
        <w:tc>
          <w:tcPr>
            <w:tcW w:type="dxa" w:w="1399"/>
            <w:shd w:val="clear" w:fill="F5F7F5"/>
            <w:shd w:val="clear" w:fill="F5F7F5"/>
          </w:tcPr>
          <w:p>
            <w:r/>
            <w:r>
              <w:rPr>
                <w:rFonts w:ascii="Calibri" w:hAnsi="Calibri"/>
                <w:b w:val="0"/>
                <w:color w:val="2B2B2B"/>
                <w:sz w:val="20"/>
              </w:rPr>
              <w:t>Semana 9</w:t>
            </w:r>
          </w:p>
        </w:tc>
      </w:tr>
      <w:tr>
        <w:tc>
          <w:tcPr>
            <w:tcW w:type="dxa" w:w="1399"/>
          </w:tcPr>
          <w:p>
            <w:r/>
            <w:r>
              <w:rPr>
                <w:rFonts w:ascii="Calibri" w:hAnsi="Calibri"/>
                <w:b w:val="0"/>
                <w:color w:val="2B2B2B"/>
                <w:sz w:val="20"/>
              </w:rPr>
              <w:t>12</w:t>
            </w:r>
          </w:p>
        </w:tc>
        <w:tc>
          <w:tcPr>
            <w:tcW w:type="dxa" w:w="1399"/>
          </w:tcPr>
          <w:p>
            <w:r/>
            <w:r>
              <w:rPr>
                <w:rFonts w:ascii="Calibri" w:hAnsi="Calibri"/>
                <w:b w:val="0"/>
                <w:color w:val="2B2B2B"/>
                <w:sz w:val="20"/>
              </w:rPr>
              <w:t xml:space="preserve">Consolidación de la </w:t>
            </w:r>
            <w:r>
              <w:rPr>
                <w:rFonts w:ascii="Calibri" w:hAnsi="Calibri"/>
                <w:b/>
                <w:color w:val="2B2B2B"/>
                <w:sz w:val="20"/>
              </w:rPr>
              <w:t>versión final</w:t>
            </w:r>
            <w:r>
              <w:rPr>
                <w:rFonts w:ascii="Calibri" w:hAnsi="Calibri"/>
                <w:b w:val="0"/>
                <w:color w:val="2B2B2B"/>
                <w:sz w:val="20"/>
              </w:rPr>
              <w:t xml:space="preserve"> del modelo integrando las observaciones de la validación y los hallazgos del prototipo (actividad 18) en el componente D7 de registro y revisión de eventos, con marcado explícito de las recomendaciones no sometidas al juicio de aplicabilidad</w:t>
            </w:r>
          </w:p>
        </w:tc>
        <w:tc>
          <w:tcPr>
            <w:tcW w:type="dxa" w:w="1399"/>
          </w:tcPr>
          <w:p>
            <w:r/>
            <w:r>
              <w:rPr>
                <w:rFonts w:ascii="Calibri" w:hAnsi="Calibri"/>
                <w:b w:val="0"/>
                <w:color w:val="2B2B2B"/>
                <w:sz w:val="20"/>
              </w:rPr>
              <w:t>Modelo final trazable, sin inflar el porcentaje de H3</w:t>
            </w:r>
          </w:p>
        </w:tc>
        <w:tc>
          <w:tcPr>
            <w:tcW w:type="dxa" w:w="1399"/>
          </w:tcPr>
          <w:p>
            <w:r/>
            <w:r>
              <w:rPr>
                <w:rFonts w:ascii="Calibri" w:hAnsi="Calibri"/>
                <w:b w:val="0"/>
                <w:color w:val="2B2B2B"/>
                <w:sz w:val="20"/>
              </w:rPr>
              <w:t>Versión final entregada; recomendaciones provenientes del prototipo marcadas y excluidas del denominador de H3</w:t>
            </w:r>
          </w:p>
        </w:tc>
        <w:tc>
          <w:tcPr>
            <w:tcW w:type="dxa" w:w="1399"/>
          </w:tcPr>
          <w:p>
            <w:r/>
            <w:r>
              <w:rPr>
                <w:rFonts w:ascii="Calibri" w:hAnsi="Calibri"/>
                <w:b w:val="0"/>
                <w:color w:val="2B2B2B"/>
                <w:sz w:val="20"/>
              </w:rPr>
              <w:t>Modelo versión final y nota metodológica de las recomendaciones marcadas</w:t>
            </w:r>
          </w:p>
        </w:tc>
        <w:tc>
          <w:tcPr>
            <w:tcW w:type="dxa" w:w="1399"/>
          </w:tcPr>
          <w:p>
            <w:r/>
            <w:r>
              <w:rPr>
                <w:rFonts w:ascii="Calibri" w:hAnsi="Calibri"/>
                <w:b w:val="0"/>
                <w:color w:val="2B2B2B"/>
                <w:sz w:val="20"/>
              </w:rPr>
              <w:t>Semana 9</w:t>
            </w:r>
          </w:p>
        </w:tc>
        <w:tc>
          <w:tcPr>
            <w:tcW w:type="dxa" w:w="1399"/>
          </w:tcPr>
          <w:p>
            <w:r/>
            <w:r>
              <w:rPr>
                <w:rFonts w:ascii="Calibri" w:hAnsi="Calibri"/>
                <w:b w:val="0"/>
                <w:color w:val="2B2B2B"/>
                <w:sz w:val="20"/>
              </w:rPr>
              <w:t>Semana 10</w:t>
            </w:r>
          </w:p>
        </w:tc>
      </w:tr>
      <w:tr>
        <w:tc>
          <w:tcPr>
            <w:tcW w:type="dxa" w:w="1399"/>
            <w:shd w:val="clear" w:fill="F5F7F5"/>
            <w:shd w:val="clear" w:fill="F5F7F5"/>
          </w:tcPr>
          <w:p>
            <w:r/>
            <w:r>
              <w:rPr>
                <w:rFonts w:ascii="Calibri" w:hAnsi="Calibri"/>
                <w:b w:val="0"/>
                <w:color w:val="2B2B2B"/>
                <w:sz w:val="20"/>
              </w:rPr>
              <w:t>13</w:t>
            </w:r>
          </w:p>
        </w:tc>
        <w:tc>
          <w:tcPr>
            <w:tcW w:type="dxa" w:w="1399"/>
            <w:shd w:val="clear" w:fill="F5F7F5"/>
            <w:shd w:val="clear" w:fill="F5F7F5"/>
          </w:tcPr>
          <w:p>
            <w:r/>
            <w:r>
              <w:rPr>
                <w:rFonts w:ascii="Calibri" w:hAnsi="Calibri"/>
                <w:b w:val="0"/>
                <w:color w:val="2B2B2B"/>
                <w:sz w:val="20"/>
              </w:rPr>
              <w:t>Producción de la cartilla en lenguaje no técnico (redacción, diseño e impresión) y sesión de cierre por organización: entrega del informe individual, del modelo y de la cartilla, constancia de participación y diligenciamiento del acta de compromisos (I9)</w:t>
            </w:r>
          </w:p>
        </w:tc>
        <w:tc>
          <w:tcPr>
            <w:tcW w:type="dxa" w:w="1399"/>
            <w:shd w:val="clear" w:fill="F5F7F5"/>
            <w:shd w:val="clear" w:fill="F5F7F5"/>
          </w:tcPr>
          <w:p>
            <w:r/>
            <w:r>
              <w:rPr>
                <w:rFonts w:ascii="Calibri" w:hAnsi="Calibri"/>
                <w:b w:val="0"/>
                <w:color w:val="2B2B2B"/>
                <w:sz w:val="20"/>
              </w:rPr>
              <w:t>Apropiación social ejecutada y compromisos de adopción registrados</w:t>
            </w:r>
          </w:p>
        </w:tc>
        <w:tc>
          <w:tcPr>
            <w:tcW w:type="dxa" w:w="1399"/>
            <w:shd w:val="clear" w:fill="F5F7F5"/>
            <w:shd w:val="clear" w:fill="F5F7F5"/>
          </w:tcPr>
          <w:p>
            <w:r/>
            <w:r>
              <w:rPr>
                <w:rFonts w:ascii="Calibri" w:hAnsi="Calibri"/>
                <w:b w:val="0"/>
                <w:color w:val="2B2B2B"/>
                <w:sz w:val="20"/>
              </w:rPr>
              <w:t>Cartilla impresa y entregada a todas las organizaciones; 1 acta de cierre por organización con ≥ 3 controles comprometidos por escrito</w:t>
            </w:r>
          </w:p>
        </w:tc>
        <w:tc>
          <w:tcPr>
            <w:tcW w:type="dxa" w:w="1399"/>
            <w:shd w:val="clear" w:fill="F5F7F5"/>
            <w:shd w:val="clear" w:fill="F5F7F5"/>
          </w:tcPr>
          <w:p>
            <w:r/>
            <w:r>
              <w:rPr>
                <w:rFonts w:ascii="Calibri" w:hAnsi="Calibri"/>
                <w:b w:val="0"/>
                <w:color w:val="2B2B2B"/>
                <w:sz w:val="20"/>
              </w:rPr>
              <w:t>Cartilla impresa y digital, actas de cierre firmadas y constancias de participación</w:t>
            </w:r>
          </w:p>
        </w:tc>
        <w:tc>
          <w:tcPr>
            <w:tcW w:type="dxa" w:w="1399"/>
            <w:shd w:val="clear" w:fill="F5F7F5"/>
            <w:shd w:val="clear" w:fill="F5F7F5"/>
          </w:tcPr>
          <w:p>
            <w:r/>
            <w:r>
              <w:rPr>
                <w:rFonts w:ascii="Calibri" w:hAnsi="Calibri"/>
                <w:b w:val="0"/>
                <w:color w:val="2B2B2B"/>
                <w:sz w:val="20"/>
              </w:rPr>
              <w:t>Semana 9</w:t>
            </w:r>
          </w:p>
        </w:tc>
        <w:tc>
          <w:tcPr>
            <w:tcW w:type="dxa" w:w="1399"/>
            <w:shd w:val="clear" w:fill="F5F7F5"/>
            <w:shd w:val="clear" w:fill="F5F7F5"/>
          </w:tcPr>
          <w:p>
            <w:r/>
            <w:r>
              <w:rPr>
                <w:rFonts w:ascii="Calibri" w:hAnsi="Calibri"/>
                <w:b w:val="0"/>
                <w:color w:val="2B2B2B"/>
                <w:sz w:val="20"/>
              </w:rPr>
              <w:t>Semana 10</w:t>
            </w:r>
          </w:p>
        </w:tc>
      </w:tr>
    </w:tbl>
    <w:p/>
    <w:p>
      <w:pPr>
        <w:spacing w:before="200" w:after="60"/>
      </w:pPr>
      <w:r>
        <w:rPr>
          <w:rFonts w:ascii="Calibri" w:hAnsi="Calibri"/>
          <w:b/>
          <w:color w:val="007433"/>
          <w:sz w:val="32"/>
        </w:rPr>
        <w:t>Objetivo específico 3</w:t>
      </w:r>
    </w:p>
    <w:p>
      <w:r>
        <w:rPr>
          <w:rFonts w:ascii="Calibri" w:hAnsi="Calibri"/>
          <w:b w:val="0"/>
          <w:color w:val="2B2B2B"/>
          <w:sz w:val="22"/>
        </w:rPr>
        <w:t>Implementar y evaluar el prototipo de detección no supervisada de anomalías sobre registros de acceso</w:t>
      </w:r>
    </w:p>
    <w:p>
      <w:r>
        <w:rPr>
          <w:rFonts w:ascii="Calibri" w:hAnsi="Calibri"/>
          <w:b w:val="0"/>
          <w:color w:val="2B2B2B"/>
          <w:sz w:val="22"/>
        </w:rPr>
        <w:t>sintéticos y anonimizados con anomalías inyectadas de referencia conocida, contrastarlo con un detector</w:t>
      </w:r>
    </w:p>
    <w:p>
      <w:r>
        <w:rPr>
          <w:rFonts w:ascii="Calibri" w:hAnsi="Calibri"/>
          <w:b w:val="0"/>
          <w:color w:val="2B2B2B"/>
          <w:sz w:val="22"/>
        </w:rPr>
        <w:t>estadístico de referencia y documentarlo como cuaderno reproducible (</w:t>
      </w:r>
      <w:r>
        <w:rPr>
          <w:rFonts w:ascii="Calibri" w:hAnsi="Calibri"/>
          <w:b/>
          <w:color w:val="2B2B2B"/>
          <w:sz w:val="22"/>
        </w:rPr>
        <w:t>semanas 4 a 11</w:t>
      </w:r>
      <w:r>
        <w:rPr>
          <w:rFonts w:ascii="Calibri" w:hAnsi="Calibri"/>
          <w:b w:val="0"/>
          <w:color w:val="2B2B2B"/>
          <w:sz w:val="22"/>
        </w:rPr>
        <w:t>).</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fill="0C2340"/>
            <w:shd w:val="clear" w:fill="0C2340"/>
          </w:tcPr>
          <w:p>
            <w:r>
              <w:rPr>
                <w:rFonts w:ascii="Calibri" w:hAnsi="Calibri"/>
                <w:b/>
                <w:color w:val="FFFFFF"/>
              </w:rPr>
            </w:r>
            <w:r>
              <w:rPr>
                <w:rFonts w:ascii="Calibri" w:hAnsi="Calibri"/>
                <w:b/>
                <w:color w:val="FFFFFF"/>
                <w:sz w:val="21"/>
              </w:rPr>
              <w:t>#</w:t>
            </w:r>
          </w:p>
        </w:tc>
        <w:tc>
          <w:tcPr>
            <w:tcW w:type="dxa" w:w="1399"/>
            <w:shd w:val="clear" w:fill="0C2340"/>
            <w:shd w:val="clear" w:fill="0C2340"/>
          </w:tcPr>
          <w:p>
            <w:r>
              <w:rPr>
                <w:rFonts w:ascii="Calibri" w:hAnsi="Calibri"/>
                <w:b/>
                <w:color w:val="FFFFFF"/>
              </w:rPr>
            </w:r>
            <w:r>
              <w:rPr>
                <w:rFonts w:ascii="Calibri" w:hAnsi="Calibri"/>
                <w:b/>
                <w:color w:val="FFFFFF"/>
                <w:sz w:val="21"/>
              </w:rPr>
              <w:t>Actividad</w:t>
            </w:r>
          </w:p>
        </w:tc>
        <w:tc>
          <w:tcPr>
            <w:tcW w:type="dxa" w:w="1399"/>
            <w:shd w:val="clear" w:fill="0C2340"/>
            <w:shd w:val="clear" w:fill="0C2340"/>
          </w:tcPr>
          <w:p>
            <w:r>
              <w:rPr>
                <w:rFonts w:ascii="Calibri" w:hAnsi="Calibri"/>
                <w:b/>
                <w:color w:val="FFFFFF"/>
              </w:rPr>
            </w:r>
            <w:r>
              <w:rPr>
                <w:rFonts w:ascii="Calibri" w:hAnsi="Calibri"/>
                <w:b/>
                <w:color w:val="FFFFFF"/>
                <w:sz w:val="21"/>
              </w:rPr>
              <w:t>Resultado esperado</w:t>
            </w:r>
          </w:p>
        </w:tc>
        <w:tc>
          <w:tcPr>
            <w:tcW w:type="dxa" w:w="1399"/>
            <w:shd w:val="clear" w:fill="0C2340"/>
            <w:shd w:val="clear" w:fill="0C2340"/>
          </w:tcPr>
          <w:p>
            <w:r>
              <w:rPr>
                <w:rFonts w:ascii="Calibri" w:hAnsi="Calibri"/>
                <w:b/>
                <w:color w:val="FFFFFF"/>
              </w:rPr>
            </w:r>
            <w:r>
              <w:rPr>
                <w:rFonts w:ascii="Calibri" w:hAnsi="Calibri"/>
                <w:b/>
                <w:color w:val="FFFFFF"/>
                <w:sz w:val="21"/>
              </w:rPr>
              <w:t>Indicador de cumplimiento</w:t>
            </w:r>
          </w:p>
        </w:tc>
        <w:tc>
          <w:tcPr>
            <w:tcW w:type="dxa" w:w="1399"/>
            <w:shd w:val="clear" w:fill="0C2340"/>
            <w:shd w:val="clear" w:fill="0C2340"/>
          </w:tcPr>
          <w:p>
            <w:r>
              <w:rPr>
                <w:rFonts w:ascii="Calibri" w:hAnsi="Calibri"/>
                <w:b/>
                <w:color w:val="FFFFFF"/>
              </w:rPr>
            </w:r>
            <w:r>
              <w:rPr>
                <w:rFonts w:ascii="Calibri" w:hAnsi="Calibri"/>
                <w:b/>
                <w:color w:val="FFFFFF"/>
                <w:sz w:val="21"/>
              </w:rPr>
              <w:t>Medio de verificación</w:t>
            </w:r>
          </w:p>
        </w:tc>
        <w:tc>
          <w:tcPr>
            <w:tcW w:type="dxa" w:w="1399"/>
            <w:shd w:val="clear" w:fill="0C2340"/>
            <w:shd w:val="clear" w:fill="0C2340"/>
          </w:tcPr>
          <w:p>
            <w:r>
              <w:rPr>
                <w:rFonts w:ascii="Calibri" w:hAnsi="Calibri"/>
                <w:b/>
                <w:color w:val="FFFFFF"/>
              </w:rPr>
            </w:r>
            <w:r>
              <w:rPr>
                <w:rFonts w:ascii="Calibri" w:hAnsi="Calibri"/>
                <w:b/>
                <w:color w:val="FFFFFF"/>
                <w:sz w:val="21"/>
              </w:rPr>
              <w:t>Inicio</w:t>
            </w:r>
          </w:p>
        </w:tc>
        <w:tc>
          <w:tcPr>
            <w:tcW w:type="dxa" w:w="1399"/>
            <w:shd w:val="clear" w:fill="0C2340"/>
            <w:shd w:val="clear" w:fill="0C2340"/>
          </w:tcPr>
          <w:p>
            <w:r>
              <w:rPr>
                <w:rFonts w:ascii="Calibri" w:hAnsi="Calibri"/>
                <w:b/>
                <w:color w:val="FFFFFF"/>
              </w:rPr>
            </w:r>
            <w:r>
              <w:rPr>
                <w:rFonts w:ascii="Calibri" w:hAnsi="Calibri"/>
                <w:b/>
                <w:color w:val="FFFFFF"/>
                <w:sz w:val="21"/>
              </w:rPr>
              <w:t>Fin</w:t>
            </w:r>
          </w:p>
        </w:tc>
      </w:tr>
      <w:tr>
        <w:tc>
          <w:tcPr>
            <w:tcW w:type="dxa" w:w="1399"/>
          </w:tcPr>
          <w:p>
            <w:r/>
            <w:r>
              <w:rPr>
                <w:rFonts w:ascii="Calibri" w:hAnsi="Calibri"/>
                <w:b w:val="0"/>
                <w:color w:val="2B2B2B"/>
                <w:sz w:val="20"/>
              </w:rPr>
              <w:t>14</w:t>
            </w:r>
          </w:p>
        </w:tc>
        <w:tc>
          <w:tcPr>
            <w:tcW w:type="dxa" w:w="1399"/>
          </w:tcPr>
          <w:p>
            <w:r/>
            <w:r>
              <w:rPr>
                <w:rFonts w:ascii="Calibri" w:hAnsi="Calibri"/>
                <w:b w:val="0"/>
                <w:color w:val="2B2B2B"/>
                <w:sz w:val="20"/>
              </w:rPr>
              <w:t xml:space="preserve">Especificación de la estructura de los registros y de los </w:t>
            </w:r>
            <w:r>
              <w:rPr>
                <w:rFonts w:ascii="Calibri" w:hAnsi="Calibri"/>
                <w:b/>
                <w:color w:val="2B2B2B"/>
                <w:sz w:val="20"/>
              </w:rPr>
              <w:t>atributos declarados</w:t>
            </w:r>
            <w:r>
              <w:rPr>
                <w:rFonts w:ascii="Calibri" w:hAnsi="Calibri"/>
                <w:b w:val="0"/>
                <w:color w:val="2B2B2B"/>
                <w:sz w:val="20"/>
              </w:rPr>
              <w:t xml:space="preserve"> (usuario, marca de tiempo, recurso, resultado de la autenticación, volumen), generación del conjunto sintético y recepción de los registros </w:t>
            </w:r>
            <w:r>
              <w:rPr>
                <w:rFonts w:ascii="Calibri" w:hAnsi="Calibri"/>
                <w:b/>
                <w:color w:val="2B2B2B"/>
                <w:sz w:val="20"/>
              </w:rPr>
              <w:t>anonimizados por cada organización</w:t>
            </w:r>
            <w:r>
              <w:rPr>
                <w:rFonts w:ascii="Calibri" w:hAnsi="Calibri"/>
                <w:b w:val="0"/>
                <w:color w:val="2B2B2B"/>
                <w:sz w:val="20"/>
              </w:rPr>
              <w:t>, con rechazo documentado de cualquier envío sin anonimizar</w:t>
            </w:r>
          </w:p>
        </w:tc>
        <w:tc>
          <w:tcPr>
            <w:tcW w:type="dxa" w:w="1399"/>
          </w:tcPr>
          <w:p>
            <w:r/>
            <w:r>
              <w:rPr>
                <w:rFonts w:ascii="Calibri" w:hAnsi="Calibri"/>
                <w:b w:val="0"/>
                <w:color w:val="2B2B2B"/>
                <w:sz w:val="20"/>
              </w:rPr>
              <w:t>Conjuntos de datos disponibles sin tratar datos personales de terceros</w:t>
            </w:r>
          </w:p>
        </w:tc>
        <w:tc>
          <w:tcPr>
            <w:tcW w:type="dxa" w:w="1399"/>
          </w:tcPr>
          <w:p>
            <w:r/>
            <w:r>
              <w:rPr>
                <w:rFonts w:ascii="Calibri" w:hAnsi="Calibri"/>
                <w:b w:val="0"/>
                <w:color w:val="2B2B2B"/>
                <w:sz w:val="20"/>
              </w:rPr>
              <w:t>Especificación de 5 atributos cerrada; 1 conjunto sintético generado y registros anonimizados recibidos de ≥ 2 organizaciones</w:t>
            </w:r>
          </w:p>
        </w:tc>
        <w:tc>
          <w:tcPr>
            <w:tcW w:type="dxa" w:w="1399"/>
          </w:tcPr>
          <w:p>
            <w:r/>
            <w:r>
              <w:rPr>
                <w:rFonts w:ascii="Calibri" w:hAnsi="Calibri"/>
                <w:b w:val="0"/>
                <w:color w:val="2B2B2B"/>
                <w:sz w:val="20"/>
              </w:rPr>
              <w:t>Especificación I7, script generador, registro de recepción y constancia de rechazos si los hubo</w:t>
            </w:r>
          </w:p>
        </w:tc>
        <w:tc>
          <w:tcPr>
            <w:tcW w:type="dxa" w:w="1399"/>
          </w:tcPr>
          <w:p>
            <w:r/>
            <w:r>
              <w:rPr>
                <w:rFonts w:ascii="Calibri" w:hAnsi="Calibri"/>
                <w:b w:val="0"/>
                <w:color w:val="2B2B2B"/>
                <w:sz w:val="20"/>
              </w:rPr>
              <w:t>Semana 4</w:t>
            </w:r>
          </w:p>
        </w:tc>
        <w:tc>
          <w:tcPr>
            <w:tcW w:type="dxa" w:w="1399"/>
          </w:tcPr>
          <w:p>
            <w:r/>
            <w:r>
              <w:rPr>
                <w:rFonts w:ascii="Calibri" w:hAnsi="Calibri"/>
                <w:b w:val="0"/>
                <w:color w:val="2B2B2B"/>
                <w:sz w:val="20"/>
              </w:rPr>
              <w:t>Semana 5</w:t>
            </w:r>
          </w:p>
        </w:tc>
      </w:tr>
      <w:tr>
        <w:tc>
          <w:tcPr>
            <w:tcW w:type="dxa" w:w="1399"/>
            <w:shd w:val="clear" w:fill="F5F7F5"/>
            <w:shd w:val="clear" w:fill="F5F7F5"/>
          </w:tcPr>
          <w:p>
            <w:r/>
            <w:r>
              <w:rPr>
                <w:rFonts w:ascii="Calibri" w:hAnsi="Calibri"/>
                <w:b w:val="0"/>
                <w:color w:val="2B2B2B"/>
                <w:sz w:val="20"/>
              </w:rPr>
              <w:t>15</w:t>
            </w:r>
          </w:p>
        </w:tc>
        <w:tc>
          <w:tcPr>
            <w:tcW w:type="dxa" w:w="1399"/>
            <w:shd w:val="clear" w:fill="F5F7F5"/>
            <w:shd w:val="clear" w:fill="F5F7F5"/>
          </w:tcPr>
          <w:p>
            <w:r/>
            <w:r>
              <w:rPr>
                <w:rFonts w:ascii="Calibri" w:hAnsi="Calibri"/>
                <w:b w:val="0"/>
                <w:color w:val="2B2B2B"/>
                <w:sz w:val="20"/>
              </w:rPr>
              <w:t>Diseño e inyección de anomalías de referencia conocida por clases: cuenta activa de personal retirado, credenciales compartidas, acceso fuera del horario de operación y extracción de volumen anómalo, con la verdad de referencia registrada por construcción</w:t>
            </w:r>
          </w:p>
        </w:tc>
        <w:tc>
          <w:tcPr>
            <w:tcW w:type="dxa" w:w="1399"/>
            <w:shd w:val="clear" w:fill="F5F7F5"/>
            <w:shd w:val="clear" w:fill="F5F7F5"/>
          </w:tcPr>
          <w:p>
            <w:r/>
            <w:r>
              <w:rPr>
                <w:rFonts w:ascii="Calibri" w:hAnsi="Calibri"/>
                <w:b w:val="0"/>
                <w:color w:val="2B2B2B"/>
                <w:sz w:val="20"/>
              </w:rPr>
              <w:t>Conjunto de evaluación con verdad de referencia conocida por clase</w:t>
            </w:r>
          </w:p>
        </w:tc>
        <w:tc>
          <w:tcPr>
            <w:tcW w:type="dxa" w:w="1399"/>
            <w:shd w:val="clear" w:fill="F5F7F5"/>
            <w:shd w:val="clear" w:fill="F5F7F5"/>
          </w:tcPr>
          <w:p>
            <w:r/>
            <w:r>
              <w:rPr>
                <w:rFonts w:ascii="Calibri" w:hAnsi="Calibri"/>
                <w:b w:val="0"/>
                <w:color w:val="2B2B2B"/>
                <w:sz w:val="20"/>
              </w:rPr>
              <w:t>4 clases de anomalía inyectadas con conteo y posición registrados; proporción de anomalías declarada</w:t>
            </w:r>
          </w:p>
        </w:tc>
        <w:tc>
          <w:tcPr>
            <w:tcW w:type="dxa" w:w="1399"/>
            <w:shd w:val="clear" w:fill="F5F7F5"/>
            <w:shd w:val="clear" w:fill="F5F7F5"/>
          </w:tcPr>
          <w:p>
            <w:r/>
            <w:r>
              <w:rPr>
                <w:rFonts w:ascii="Calibri" w:hAnsi="Calibri"/>
                <w:b w:val="0"/>
                <w:color w:val="2B2B2B"/>
                <w:sz w:val="20"/>
              </w:rPr>
              <w:t>Conjunto etiquetado, script de inyección y bitácora de la verdad de referencia</w:t>
            </w:r>
          </w:p>
        </w:tc>
        <w:tc>
          <w:tcPr>
            <w:tcW w:type="dxa" w:w="1399"/>
            <w:shd w:val="clear" w:fill="F5F7F5"/>
            <w:shd w:val="clear" w:fill="F5F7F5"/>
          </w:tcPr>
          <w:p>
            <w:r/>
            <w:r>
              <w:rPr>
                <w:rFonts w:ascii="Calibri" w:hAnsi="Calibri"/>
                <w:b w:val="0"/>
                <w:color w:val="2B2B2B"/>
                <w:sz w:val="20"/>
              </w:rPr>
              <w:t>Semana 5</w:t>
            </w:r>
          </w:p>
        </w:tc>
        <w:tc>
          <w:tcPr>
            <w:tcW w:type="dxa" w:w="1399"/>
            <w:shd w:val="clear" w:fill="F5F7F5"/>
            <w:shd w:val="clear" w:fill="F5F7F5"/>
          </w:tcPr>
          <w:p>
            <w:r/>
            <w:r>
              <w:rPr>
                <w:rFonts w:ascii="Calibri" w:hAnsi="Calibri"/>
                <w:b w:val="0"/>
                <w:color w:val="2B2B2B"/>
                <w:sz w:val="20"/>
              </w:rPr>
              <w:t>Semana 6</w:t>
            </w:r>
          </w:p>
        </w:tc>
      </w:tr>
      <w:tr>
        <w:tc>
          <w:tcPr>
            <w:tcW w:type="dxa" w:w="1399"/>
          </w:tcPr>
          <w:p>
            <w:r/>
            <w:r>
              <w:rPr>
                <w:rFonts w:ascii="Calibri" w:hAnsi="Calibri"/>
                <w:b w:val="0"/>
                <w:color w:val="2B2B2B"/>
                <w:sz w:val="20"/>
              </w:rPr>
              <w:t>16</w:t>
            </w:r>
          </w:p>
        </w:tc>
        <w:tc>
          <w:tcPr>
            <w:tcW w:type="dxa" w:w="1399"/>
          </w:tcPr>
          <w:p>
            <w:r/>
            <w:r>
              <w:rPr>
                <w:rFonts w:ascii="Calibri" w:hAnsi="Calibri"/>
                <w:b w:val="0"/>
                <w:color w:val="2B2B2B"/>
                <w:sz w:val="20"/>
              </w:rPr>
              <w:t xml:space="preserve">Implementación del detector no supervisado (Isolation Forest en </w:t>
            </w:r>
            <w:r>
              <w:rPr>
                <w:rFonts w:ascii="Consolas" w:hAnsi="Consolas"/>
                <w:color w:val="111111"/>
                <w:sz w:val="19"/>
              </w:rPr>
              <w:t>scikit-learn</w:t>
            </w:r>
            <w:r>
              <w:rPr>
                <w:rFonts w:ascii="Calibri" w:hAnsi="Calibri"/>
                <w:b w:val="0"/>
                <w:color w:val="2B2B2B"/>
                <w:sz w:val="20"/>
              </w:rPr>
              <w:t xml:space="preserve">, semillas fijadas y parámetros documentados) y del </w:t>
            </w:r>
            <w:r>
              <w:rPr>
                <w:rFonts w:ascii="Calibri" w:hAnsi="Calibri"/>
                <w:b/>
                <w:color w:val="2B2B2B"/>
                <w:sz w:val="20"/>
              </w:rPr>
              <w:t>detector estadístico de referencia</w:t>
            </w:r>
            <w:r>
              <w:rPr>
                <w:rFonts w:ascii="Calibri" w:hAnsi="Calibri"/>
                <w:b w:val="0"/>
                <w:color w:val="2B2B2B"/>
                <w:sz w:val="20"/>
              </w:rPr>
              <w:t xml:space="preserve"> basado en umbrales y reglas simples</w:t>
            </w:r>
          </w:p>
        </w:tc>
        <w:tc>
          <w:tcPr>
            <w:tcW w:type="dxa" w:w="1399"/>
          </w:tcPr>
          <w:p>
            <w:r/>
            <w:r>
              <w:rPr>
                <w:rFonts w:ascii="Calibri" w:hAnsi="Calibri"/>
                <w:b w:val="0"/>
                <w:color w:val="2B2B2B"/>
                <w:sz w:val="20"/>
              </w:rPr>
              <w:t>Dos detectores ejecutables y comparables sobre los mismos datos</w:t>
            </w:r>
          </w:p>
        </w:tc>
        <w:tc>
          <w:tcPr>
            <w:tcW w:type="dxa" w:w="1399"/>
          </w:tcPr>
          <w:p>
            <w:r/>
            <w:r>
              <w:rPr>
                <w:rFonts w:ascii="Calibri" w:hAnsi="Calibri"/>
                <w:b w:val="0"/>
                <w:color w:val="2B2B2B"/>
                <w:sz w:val="20"/>
              </w:rPr>
              <w:t>2 detectores implementados y ejecutados de extremo a extremo con semilla fija y resultado reproducible</w:t>
            </w:r>
          </w:p>
        </w:tc>
        <w:tc>
          <w:tcPr>
            <w:tcW w:type="dxa" w:w="1399"/>
          </w:tcPr>
          <w:p>
            <w:r/>
            <w:r>
              <w:rPr>
                <w:rFonts w:ascii="Calibri" w:hAnsi="Calibri"/>
                <w:b w:val="0"/>
                <w:color w:val="2B2B2B"/>
                <w:sz w:val="20"/>
              </w:rPr>
              <w:t>Código versionado, cuaderno de ejecución y registro de parámetros</w:t>
            </w:r>
          </w:p>
        </w:tc>
        <w:tc>
          <w:tcPr>
            <w:tcW w:type="dxa" w:w="1399"/>
          </w:tcPr>
          <w:p>
            <w:r/>
            <w:r>
              <w:rPr>
                <w:rFonts w:ascii="Calibri" w:hAnsi="Calibri"/>
                <w:b w:val="0"/>
                <w:color w:val="2B2B2B"/>
                <w:sz w:val="20"/>
              </w:rPr>
              <w:t>Semana 6</w:t>
            </w:r>
          </w:p>
        </w:tc>
        <w:tc>
          <w:tcPr>
            <w:tcW w:type="dxa" w:w="1399"/>
          </w:tcPr>
          <w:p>
            <w:r/>
            <w:r>
              <w:rPr>
                <w:rFonts w:ascii="Calibri" w:hAnsi="Calibri"/>
                <w:b w:val="0"/>
                <w:color w:val="2B2B2B"/>
                <w:sz w:val="20"/>
              </w:rPr>
              <w:t>Semana 8</w:t>
            </w:r>
          </w:p>
        </w:tc>
      </w:tr>
      <w:tr>
        <w:tc>
          <w:tcPr>
            <w:tcW w:type="dxa" w:w="1399"/>
            <w:shd w:val="clear" w:fill="F5F7F5"/>
            <w:shd w:val="clear" w:fill="F5F7F5"/>
          </w:tcPr>
          <w:p>
            <w:r/>
            <w:r>
              <w:rPr>
                <w:rFonts w:ascii="Calibri" w:hAnsi="Calibri"/>
                <w:b w:val="0"/>
                <w:color w:val="2B2B2B"/>
                <w:sz w:val="20"/>
              </w:rPr>
              <w:t>17</w:t>
            </w:r>
          </w:p>
        </w:tc>
        <w:tc>
          <w:tcPr>
            <w:tcW w:type="dxa" w:w="1399"/>
            <w:shd w:val="clear" w:fill="F5F7F5"/>
            <w:shd w:val="clear" w:fill="F5F7F5"/>
          </w:tcPr>
          <w:p>
            <w:r/>
            <w:r>
              <w:rPr>
                <w:rFonts w:ascii="Calibri" w:hAnsi="Calibri"/>
                <w:b w:val="0"/>
                <w:color w:val="2B2B2B"/>
                <w:sz w:val="20"/>
              </w:rPr>
              <w:t xml:space="preserve">Evaluación con I8 frente a la verdad de referencia: recuperación, precisión y proporción de falsas alarmas </w:t>
            </w:r>
            <w:r>
              <w:rPr>
                <w:rFonts w:ascii="Calibri" w:hAnsi="Calibri"/>
                <w:b/>
                <w:color w:val="2B2B2B"/>
                <w:sz w:val="20"/>
              </w:rPr>
              <w:t>por clase</w:t>
            </w:r>
            <w:r>
              <w:rPr>
                <w:rFonts w:ascii="Calibri" w:hAnsi="Calibri"/>
                <w:b w:val="0"/>
                <w:color w:val="2B2B2B"/>
                <w:sz w:val="20"/>
              </w:rPr>
              <w:t>, con el presupuesto de falsas alarmas igualado entre detectores, y veredicto sobre H4 (dos umbrales) y H5</w:t>
            </w:r>
          </w:p>
        </w:tc>
        <w:tc>
          <w:tcPr>
            <w:tcW w:type="dxa" w:w="1399"/>
            <w:shd w:val="clear" w:fill="F5F7F5"/>
            <w:shd w:val="clear" w:fill="F5F7F5"/>
          </w:tcPr>
          <w:p>
            <w:r/>
            <w:r>
              <w:rPr>
                <w:rFonts w:ascii="Calibri" w:hAnsi="Calibri"/>
                <w:b w:val="0"/>
                <w:color w:val="2B2B2B"/>
                <w:sz w:val="20"/>
              </w:rPr>
              <w:t>H4 y H5 contrastadas con criterio fijado antes de ejecutar</w:t>
            </w:r>
          </w:p>
        </w:tc>
        <w:tc>
          <w:tcPr>
            <w:tcW w:type="dxa" w:w="1399"/>
            <w:shd w:val="clear" w:fill="F5F7F5"/>
            <w:shd w:val="clear" w:fill="F5F7F5"/>
          </w:tcPr>
          <w:p>
            <w:r/>
            <w:r>
              <w:rPr>
                <w:rFonts w:ascii="Calibri" w:hAnsi="Calibri"/>
                <w:b w:val="0"/>
                <w:color w:val="2B2B2B"/>
                <w:sz w:val="20"/>
              </w:rPr>
              <w:t>Métricas reportadas para las 4 clases y los 2 detectores; veredicto escrito de H4 (≥ 70 % y ≤ 5 %) y de H5, sea cual sea el signo</w:t>
            </w:r>
          </w:p>
        </w:tc>
        <w:tc>
          <w:tcPr>
            <w:tcW w:type="dxa" w:w="1399"/>
            <w:shd w:val="clear" w:fill="F5F7F5"/>
            <w:shd w:val="clear" w:fill="F5F7F5"/>
          </w:tcPr>
          <w:p>
            <w:r/>
            <w:r>
              <w:rPr>
                <w:rFonts w:ascii="Calibri" w:hAnsi="Calibri"/>
                <w:b w:val="0"/>
                <w:color w:val="2B2B2B"/>
                <w:sz w:val="20"/>
              </w:rPr>
              <w:t>Reporte de métricas, matrices de resultados y protocolo I8 diligenciado</w:t>
            </w:r>
          </w:p>
        </w:tc>
        <w:tc>
          <w:tcPr>
            <w:tcW w:type="dxa" w:w="1399"/>
            <w:shd w:val="clear" w:fill="F5F7F5"/>
            <w:shd w:val="clear" w:fill="F5F7F5"/>
          </w:tcPr>
          <w:p>
            <w:r/>
            <w:r>
              <w:rPr>
                <w:rFonts w:ascii="Calibri" w:hAnsi="Calibri"/>
                <w:b w:val="0"/>
                <w:color w:val="2B2B2B"/>
                <w:sz w:val="20"/>
              </w:rPr>
              <w:t>Semana 8</w:t>
            </w:r>
          </w:p>
        </w:tc>
        <w:tc>
          <w:tcPr>
            <w:tcW w:type="dxa" w:w="1399"/>
            <w:shd w:val="clear" w:fill="F5F7F5"/>
            <w:shd w:val="clear" w:fill="F5F7F5"/>
          </w:tcPr>
          <w:p>
            <w:r/>
            <w:r>
              <w:rPr>
                <w:rFonts w:ascii="Calibri" w:hAnsi="Calibri"/>
                <w:b w:val="0"/>
                <w:color w:val="2B2B2B"/>
                <w:sz w:val="20"/>
              </w:rPr>
              <w:t>Semana 8</w:t>
            </w:r>
          </w:p>
        </w:tc>
      </w:tr>
      <w:tr>
        <w:tc>
          <w:tcPr>
            <w:tcW w:type="dxa" w:w="1399"/>
          </w:tcPr>
          <w:p>
            <w:r/>
            <w:r>
              <w:rPr>
                <w:rFonts w:ascii="Calibri" w:hAnsi="Calibri"/>
                <w:b w:val="0"/>
                <w:color w:val="2B2B2B"/>
                <w:sz w:val="20"/>
              </w:rPr>
              <w:t>18</w:t>
            </w:r>
          </w:p>
        </w:tc>
        <w:tc>
          <w:tcPr>
            <w:tcW w:type="dxa" w:w="1399"/>
          </w:tcPr>
          <w:p>
            <w:r/>
            <w:r>
              <w:rPr>
                <w:rFonts w:ascii="Calibri" w:hAnsi="Calibri"/>
                <w:b w:val="0"/>
                <w:color w:val="2B2B2B"/>
                <w:sz w:val="20"/>
              </w:rPr>
              <w:t xml:space="preserve">Aplicación del prototipo a los registros anonimizados </w:t>
            </w:r>
            <w:r>
              <w:rPr>
                <w:rFonts w:ascii="Calibri" w:hAnsi="Calibri"/>
                <w:b/>
                <w:color w:val="2B2B2B"/>
                <w:sz w:val="20"/>
              </w:rPr>
              <w:t>de cada organización que los haya entregado</w:t>
            </w:r>
            <w:r>
              <w:rPr>
                <w:rFonts w:ascii="Calibri" w:hAnsi="Calibri"/>
                <w:b w:val="0"/>
                <w:color w:val="2B2B2B"/>
                <w:sz w:val="20"/>
              </w:rPr>
              <w:t xml:space="preserve"> (mínimo dos, según la actividad 14), contraste de los hallazgos con lo declarado en el diagnóstico (H2) y elaboración del informe de hallazgos por organización, </w:t>
            </w:r>
            <w:r>
              <w:rPr>
                <w:rFonts w:ascii="Calibri" w:hAnsi="Calibri"/>
                <w:b/>
                <w:color w:val="2B2B2B"/>
                <w:sz w:val="20"/>
              </w:rPr>
              <w:t>sin calcular métricas de desempeño</w:t>
            </w:r>
            <w:r>
              <w:rPr>
                <w:rFonts w:ascii="Calibri" w:hAnsi="Calibri"/>
                <w:b w:val="0"/>
                <w:color w:val="2B2B2B"/>
                <w:sz w:val="20"/>
              </w:rPr>
              <w:t xml:space="preserve"> por ausencia de verdad de referencia</w:t>
            </w:r>
          </w:p>
        </w:tc>
        <w:tc>
          <w:tcPr>
            <w:tcW w:type="dxa" w:w="1399"/>
          </w:tcPr>
          <w:p>
            <w:r/>
            <w:r>
              <w:rPr>
                <w:rFonts w:ascii="Calibri" w:hAnsi="Calibri"/>
                <w:b w:val="0"/>
                <w:color w:val="2B2B2B"/>
                <w:sz w:val="20"/>
              </w:rPr>
              <w:t>Hallazgos que la autoevaluación no contenía, o su ausencia documentada</w:t>
            </w:r>
          </w:p>
        </w:tc>
        <w:tc>
          <w:tcPr>
            <w:tcW w:type="dxa" w:w="1399"/>
          </w:tcPr>
          <w:p>
            <w:r/>
            <w:r>
              <w:rPr>
                <w:rFonts w:ascii="Calibri" w:hAnsi="Calibri"/>
                <w:b w:val="0"/>
                <w:color w:val="2B2B2B"/>
                <w:sz w:val="20"/>
              </w:rPr>
              <w:t>1 informe de hallazgos por cada organización que entregó registros (≥ 2); cada hallazgo marcado como "a verificar con la organización" y veredicto escrito sobre H2</w:t>
            </w:r>
          </w:p>
        </w:tc>
        <w:tc>
          <w:tcPr>
            <w:tcW w:type="dxa" w:w="1399"/>
          </w:tcPr>
          <w:p>
            <w:r/>
            <w:r>
              <w:rPr>
                <w:rFonts w:ascii="Calibri" w:hAnsi="Calibri"/>
                <w:b w:val="0"/>
                <w:color w:val="2B2B2B"/>
                <w:sz w:val="20"/>
              </w:rPr>
              <w:t>Informes de hallazgos por organización y salidas del detector anonimizadas</w:t>
            </w:r>
          </w:p>
        </w:tc>
        <w:tc>
          <w:tcPr>
            <w:tcW w:type="dxa" w:w="1399"/>
          </w:tcPr>
          <w:p>
            <w:r/>
            <w:r>
              <w:rPr>
                <w:rFonts w:ascii="Calibri" w:hAnsi="Calibri"/>
                <w:b w:val="0"/>
                <w:color w:val="2B2B2B"/>
                <w:sz w:val="20"/>
              </w:rPr>
              <w:t>Semana 8</w:t>
            </w:r>
          </w:p>
        </w:tc>
        <w:tc>
          <w:tcPr>
            <w:tcW w:type="dxa" w:w="1399"/>
          </w:tcPr>
          <w:p>
            <w:r/>
            <w:r>
              <w:rPr>
                <w:rFonts w:ascii="Calibri" w:hAnsi="Calibri"/>
                <w:b w:val="0"/>
                <w:color w:val="2B2B2B"/>
                <w:sz w:val="20"/>
              </w:rPr>
              <w:t>Semana 9</w:t>
            </w:r>
          </w:p>
        </w:tc>
      </w:tr>
      <w:tr>
        <w:tc>
          <w:tcPr>
            <w:tcW w:type="dxa" w:w="1399"/>
            <w:shd w:val="clear" w:fill="F5F7F5"/>
            <w:shd w:val="clear" w:fill="F5F7F5"/>
          </w:tcPr>
          <w:p>
            <w:r/>
            <w:r>
              <w:rPr>
                <w:rFonts w:ascii="Calibri" w:hAnsi="Calibri"/>
                <w:b w:val="0"/>
                <w:color w:val="2B2B2B"/>
                <w:sz w:val="20"/>
              </w:rPr>
              <w:t>19</w:t>
            </w:r>
          </w:p>
        </w:tc>
        <w:tc>
          <w:tcPr>
            <w:tcW w:type="dxa" w:w="1399"/>
            <w:shd w:val="clear" w:fill="F5F7F5"/>
            <w:shd w:val="clear" w:fill="F5F7F5"/>
          </w:tcPr>
          <w:p>
            <w:r/>
            <w:r>
              <w:rPr>
                <w:rFonts w:ascii="Calibri" w:hAnsi="Calibri"/>
                <w:b w:val="0"/>
                <w:color w:val="2B2B2B"/>
                <w:sz w:val="20"/>
              </w:rPr>
              <w:t>Documentación del cuaderno reproducible (semillas, datos sintéticos de ejemplo, instrucciones de ejecución sobre registros propios) y redacción del reporte técnico de evaluación, incluidos los resultados desfavorables y la advertencia escrita de ausencia de soporte</w:t>
            </w:r>
          </w:p>
        </w:tc>
        <w:tc>
          <w:tcPr>
            <w:tcW w:type="dxa" w:w="1399"/>
            <w:shd w:val="clear" w:fill="F5F7F5"/>
            <w:shd w:val="clear" w:fill="F5F7F5"/>
          </w:tcPr>
          <w:p>
            <w:r/>
            <w:r>
              <w:rPr>
                <w:rFonts w:ascii="Calibri" w:hAnsi="Calibri"/>
                <w:b w:val="0"/>
                <w:color w:val="2B2B2B"/>
                <w:sz w:val="20"/>
              </w:rPr>
              <w:t>Prototipo transferible y reporte técnico completo</w:t>
            </w:r>
          </w:p>
        </w:tc>
        <w:tc>
          <w:tcPr>
            <w:tcW w:type="dxa" w:w="1399"/>
            <w:shd w:val="clear" w:fill="F5F7F5"/>
            <w:shd w:val="clear" w:fill="F5F7F5"/>
          </w:tcPr>
          <w:p>
            <w:r/>
            <w:r>
              <w:rPr>
                <w:rFonts w:ascii="Calibri" w:hAnsi="Calibri"/>
                <w:b w:val="0"/>
                <w:color w:val="2B2B2B"/>
                <w:sz w:val="20"/>
              </w:rPr>
              <w:t>Cuaderno ejecutado de extremo a extremo por un tercero reproduciendo las cifras del reporte; advertencia de no soporte incluida por escrito</w:t>
            </w:r>
          </w:p>
        </w:tc>
        <w:tc>
          <w:tcPr>
            <w:tcW w:type="dxa" w:w="1399"/>
            <w:shd w:val="clear" w:fill="F5F7F5"/>
            <w:shd w:val="clear" w:fill="F5F7F5"/>
          </w:tcPr>
          <w:p>
            <w:r/>
            <w:r>
              <w:rPr>
                <w:rFonts w:ascii="Calibri" w:hAnsi="Calibri"/>
                <w:b w:val="0"/>
                <w:color w:val="2B2B2B"/>
                <w:sz w:val="20"/>
              </w:rPr>
              <w:t>Cuaderno reproducible, datos de ejemplo, reporte técnico y acta de prueba de reproducción</w:t>
            </w:r>
          </w:p>
        </w:tc>
        <w:tc>
          <w:tcPr>
            <w:tcW w:type="dxa" w:w="1399"/>
            <w:shd w:val="clear" w:fill="F5F7F5"/>
            <w:shd w:val="clear" w:fill="F5F7F5"/>
          </w:tcPr>
          <w:p>
            <w:r/>
            <w:r>
              <w:rPr>
                <w:rFonts w:ascii="Calibri" w:hAnsi="Calibri"/>
                <w:b w:val="0"/>
                <w:color w:val="2B2B2B"/>
                <w:sz w:val="20"/>
              </w:rPr>
              <w:t>Semana 9</w:t>
            </w:r>
          </w:p>
        </w:tc>
        <w:tc>
          <w:tcPr>
            <w:tcW w:type="dxa" w:w="1399"/>
            <w:shd w:val="clear" w:fill="F5F7F5"/>
            <w:shd w:val="clear" w:fill="F5F7F5"/>
          </w:tcPr>
          <w:p>
            <w:r/>
            <w:r>
              <w:rPr>
                <w:rFonts w:ascii="Calibri" w:hAnsi="Calibri"/>
                <w:b w:val="0"/>
                <w:color w:val="2B2B2B"/>
                <w:sz w:val="20"/>
              </w:rPr>
              <w:t>Semana 11</w:t>
            </w:r>
          </w:p>
        </w:tc>
      </w:tr>
    </w:tbl>
    <w:p/>
    <w:p>
      <w:pPr>
        <w:spacing w:before="200" w:after="60"/>
      </w:pPr>
      <w:r>
        <w:rPr>
          <w:rFonts w:ascii="Calibri" w:hAnsi="Calibri"/>
          <w:b/>
          <w:color w:val="007433"/>
          <w:sz w:val="32"/>
        </w:rPr>
        <w:t>Actividad transversal de cierre</w:t>
      </w:r>
    </w:p>
    <w:p>
      <w:r>
        <w:rPr>
          <w:rFonts w:ascii="Calibri" w:hAnsi="Calibri"/>
          <w:b w:val="0"/>
          <w:color w:val="2B2B2B"/>
          <w:sz w:val="22"/>
        </w:rPr>
        <w:t xml:space="preserve">Esta actividad </w:t>
      </w:r>
      <w:r>
        <w:rPr>
          <w:rFonts w:ascii="Calibri" w:hAnsi="Calibri"/>
          <w:b/>
          <w:color w:val="2B2B2B"/>
          <w:sz w:val="22"/>
        </w:rPr>
        <w:t>no pertenece a un solo objetivo específico</w:t>
      </w:r>
      <w:r>
        <w:rPr>
          <w:rFonts w:ascii="Calibri" w:hAnsi="Calibri"/>
          <w:b w:val="0"/>
          <w:color w:val="2B2B2B"/>
          <w:sz w:val="22"/>
        </w:rPr>
        <w:t>: consolida los productos de los tres y por</w:t>
      </w:r>
    </w:p>
    <w:p>
      <w:r>
        <w:rPr>
          <w:rFonts w:ascii="Calibri" w:hAnsi="Calibri"/>
          <w:b w:val="0"/>
          <w:color w:val="2B2B2B"/>
          <w:sz w:val="22"/>
        </w:rPr>
        <w:t>eso se declara aparte en lugar de forzarla dentro de una ventana que los objetivos ya tienen cerrada</w:t>
      </w:r>
    </w:p>
    <w:p>
      <w:r>
        <w:rPr>
          <w:rFonts w:ascii="Calibri" w:hAnsi="Calibri"/>
          <w:b w:val="0"/>
          <w:color w:val="2B2B2B"/>
          <w:sz w:val="22"/>
        </w:rPr>
        <w:t>(OE1 hasta S6, OE2 hasta S10, OE3 hasta S11). **Al trasladar el contenido al INV-FO03, que solo prevé</w:t>
      </w:r>
    </w:p>
    <w:p>
      <w:r>
        <w:rPr>
          <w:rFonts w:ascii="Calibri" w:hAnsi="Calibri"/>
          <w:b w:val="0"/>
          <w:color w:val="2B2B2B"/>
          <w:sz w:val="22"/>
        </w:rPr>
        <w:t>tres tablas, esta fila se incorpora al final de la tabla del objetivo específico 2 con la anotación</w:t>
      </w:r>
    </w:p>
    <w:p>
      <w:r>
        <w:rPr>
          <w:rFonts w:ascii="Calibri" w:hAnsi="Calibri"/>
          <w:b w:val="0"/>
          <w:color w:val="2B2B2B"/>
          <w:sz w:val="22"/>
        </w:rPr>
        <w:t>expresa de su carácter transversal**, y así debe quedar escrito para no perder la trazabilidad con el</w:t>
      </w:r>
    </w:p>
    <w:p>
      <w:r>
        <w:rPr>
          <w:rFonts w:ascii="Calibri" w:hAnsi="Calibri"/>
          <w:b w:val="0"/>
          <w:color w:val="2B2B2B"/>
          <w:sz w:val="22"/>
        </w:rPr>
        <w:t>cronograma.</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fill="0C2340"/>
            <w:shd w:val="clear" w:fill="0C2340"/>
          </w:tcPr>
          <w:p>
            <w:r>
              <w:rPr>
                <w:rFonts w:ascii="Calibri" w:hAnsi="Calibri"/>
                <w:b/>
                <w:color w:val="FFFFFF"/>
              </w:rPr>
            </w:r>
            <w:r>
              <w:rPr>
                <w:rFonts w:ascii="Calibri" w:hAnsi="Calibri"/>
                <w:b/>
                <w:color w:val="FFFFFF"/>
                <w:sz w:val="21"/>
              </w:rPr>
              <w:t>#</w:t>
            </w:r>
          </w:p>
        </w:tc>
        <w:tc>
          <w:tcPr>
            <w:tcW w:type="dxa" w:w="1399"/>
            <w:shd w:val="clear" w:fill="0C2340"/>
            <w:shd w:val="clear" w:fill="0C2340"/>
          </w:tcPr>
          <w:p>
            <w:r>
              <w:rPr>
                <w:rFonts w:ascii="Calibri" w:hAnsi="Calibri"/>
                <w:b/>
                <w:color w:val="FFFFFF"/>
              </w:rPr>
            </w:r>
            <w:r>
              <w:rPr>
                <w:rFonts w:ascii="Calibri" w:hAnsi="Calibri"/>
                <w:b/>
                <w:color w:val="FFFFFF"/>
                <w:sz w:val="21"/>
              </w:rPr>
              <w:t>Actividad</w:t>
            </w:r>
          </w:p>
        </w:tc>
        <w:tc>
          <w:tcPr>
            <w:tcW w:type="dxa" w:w="1399"/>
            <w:shd w:val="clear" w:fill="0C2340"/>
            <w:shd w:val="clear" w:fill="0C2340"/>
          </w:tcPr>
          <w:p>
            <w:r>
              <w:rPr>
                <w:rFonts w:ascii="Calibri" w:hAnsi="Calibri"/>
                <w:b/>
                <w:color w:val="FFFFFF"/>
              </w:rPr>
            </w:r>
            <w:r>
              <w:rPr>
                <w:rFonts w:ascii="Calibri" w:hAnsi="Calibri"/>
                <w:b/>
                <w:color w:val="FFFFFF"/>
                <w:sz w:val="21"/>
              </w:rPr>
              <w:t>Resultado esperado</w:t>
            </w:r>
          </w:p>
        </w:tc>
        <w:tc>
          <w:tcPr>
            <w:tcW w:type="dxa" w:w="1399"/>
            <w:shd w:val="clear" w:fill="0C2340"/>
            <w:shd w:val="clear" w:fill="0C2340"/>
          </w:tcPr>
          <w:p>
            <w:r>
              <w:rPr>
                <w:rFonts w:ascii="Calibri" w:hAnsi="Calibri"/>
                <w:b/>
                <w:color w:val="FFFFFF"/>
              </w:rPr>
            </w:r>
            <w:r>
              <w:rPr>
                <w:rFonts w:ascii="Calibri" w:hAnsi="Calibri"/>
                <w:b/>
                <w:color w:val="FFFFFF"/>
                <w:sz w:val="21"/>
              </w:rPr>
              <w:t>Indicador de cumplimiento</w:t>
            </w:r>
          </w:p>
        </w:tc>
        <w:tc>
          <w:tcPr>
            <w:tcW w:type="dxa" w:w="1399"/>
            <w:shd w:val="clear" w:fill="0C2340"/>
            <w:shd w:val="clear" w:fill="0C2340"/>
          </w:tcPr>
          <w:p>
            <w:r>
              <w:rPr>
                <w:rFonts w:ascii="Calibri" w:hAnsi="Calibri"/>
                <w:b/>
                <w:color w:val="FFFFFF"/>
              </w:rPr>
            </w:r>
            <w:r>
              <w:rPr>
                <w:rFonts w:ascii="Calibri" w:hAnsi="Calibri"/>
                <w:b/>
                <w:color w:val="FFFFFF"/>
                <w:sz w:val="21"/>
              </w:rPr>
              <w:t>Medio de verificación</w:t>
            </w:r>
          </w:p>
        </w:tc>
        <w:tc>
          <w:tcPr>
            <w:tcW w:type="dxa" w:w="1399"/>
            <w:shd w:val="clear" w:fill="0C2340"/>
            <w:shd w:val="clear" w:fill="0C2340"/>
          </w:tcPr>
          <w:p>
            <w:r>
              <w:rPr>
                <w:rFonts w:ascii="Calibri" w:hAnsi="Calibri"/>
                <w:b/>
                <w:color w:val="FFFFFF"/>
              </w:rPr>
            </w:r>
            <w:r>
              <w:rPr>
                <w:rFonts w:ascii="Calibri" w:hAnsi="Calibri"/>
                <w:b/>
                <w:color w:val="FFFFFF"/>
                <w:sz w:val="21"/>
              </w:rPr>
              <w:t>Inicio</w:t>
            </w:r>
          </w:p>
        </w:tc>
        <w:tc>
          <w:tcPr>
            <w:tcW w:type="dxa" w:w="1399"/>
            <w:shd w:val="clear" w:fill="0C2340"/>
            <w:shd w:val="clear" w:fill="0C2340"/>
          </w:tcPr>
          <w:p>
            <w:r>
              <w:rPr>
                <w:rFonts w:ascii="Calibri" w:hAnsi="Calibri"/>
                <w:b/>
                <w:color w:val="FFFFFF"/>
              </w:rPr>
            </w:r>
            <w:r>
              <w:rPr>
                <w:rFonts w:ascii="Calibri" w:hAnsi="Calibri"/>
                <w:b/>
                <w:color w:val="FFFFFF"/>
                <w:sz w:val="21"/>
              </w:rPr>
              <w:t>Fin</w:t>
            </w:r>
          </w:p>
        </w:tc>
      </w:tr>
      <w:tr>
        <w:tc>
          <w:tcPr>
            <w:tcW w:type="dxa" w:w="1399"/>
          </w:tcPr>
          <w:p>
            <w:r/>
            <w:r>
              <w:rPr>
                <w:rFonts w:ascii="Calibri" w:hAnsi="Calibri"/>
                <w:b w:val="0"/>
                <w:color w:val="2B2B2B"/>
                <w:sz w:val="20"/>
              </w:rPr>
              <w:t>20</w:t>
            </w:r>
          </w:p>
        </w:tc>
        <w:tc>
          <w:tcPr>
            <w:tcW w:type="dxa" w:w="1399"/>
          </w:tcPr>
          <w:p>
            <w:r/>
            <w:r>
              <w:rPr>
                <w:rFonts w:ascii="Calibri" w:hAnsi="Calibri"/>
                <w:b w:val="0"/>
                <w:color w:val="2B2B2B"/>
                <w:sz w:val="20"/>
              </w:rPr>
              <w:t xml:space="preserve">Consolidación del informe final de investigación con el anexo de datos crudos anonimizados y de desacuerdos; </w:t>
            </w:r>
            <w:r>
              <w:rPr>
                <w:rFonts w:ascii="Calibri" w:hAnsi="Calibri"/>
                <w:b/>
                <w:color w:val="2B2B2B"/>
                <w:sz w:val="20"/>
              </w:rPr>
              <w:t>cierre del registro I9: verificación documental de la evidencia de implementación inicial de los controles comprometidos en las actas de cierre (indicador 4 del plan de evaluación de impacto)</w:t>
            </w:r>
            <w:r>
              <w:rPr>
                <w:rFonts w:ascii="Calibri" w:hAnsi="Calibri"/>
                <w:b w:val="0"/>
                <w:color w:val="2B2B2B"/>
                <w:sz w:val="20"/>
              </w:rPr>
              <w:t>; redacción del manuscrito de resultados integrando las dos hebras y las hipótesis refutadas; emisión de la certificación del auxiliar de semillero; y entrega de todos los productos a la DNI con la declaración de uso de herramientas de IA</w:t>
            </w:r>
          </w:p>
        </w:tc>
        <w:tc>
          <w:tcPr>
            <w:tcW w:type="dxa" w:w="1399"/>
          </w:tcPr>
          <w:p>
            <w:r/>
            <w:r>
              <w:rPr>
                <w:rFonts w:ascii="Calibri" w:hAnsi="Calibri"/>
                <w:b w:val="0"/>
                <w:color w:val="2B2B2B"/>
                <w:sz w:val="20"/>
              </w:rPr>
              <w:t>Cierre documentado, adopción inicial verificada y productos radicados</w:t>
            </w:r>
          </w:p>
        </w:tc>
        <w:tc>
          <w:tcPr>
            <w:tcW w:type="dxa" w:w="1399"/>
          </w:tcPr>
          <w:p>
            <w:r/>
            <w:r>
              <w:rPr>
                <w:rFonts w:ascii="Calibri" w:hAnsi="Calibri"/>
                <w:b w:val="0"/>
                <w:color w:val="2B2B2B"/>
                <w:sz w:val="20"/>
              </w:rPr>
              <w:t>1 informe final, 1 manuscrito, 1 anexo de datos recalculable por un tercero, 1 certificación de semillero y I9 cerrado con la evidencia de adopción observada dentro de las 12 semanas, radicados ante la DNI</w:t>
            </w:r>
          </w:p>
        </w:tc>
        <w:tc>
          <w:tcPr>
            <w:tcW w:type="dxa" w:w="1399"/>
          </w:tcPr>
          <w:p>
            <w:r/>
            <w:r>
              <w:rPr>
                <w:rFonts w:ascii="Calibri" w:hAnsi="Calibri"/>
                <w:b w:val="0"/>
                <w:color w:val="2B2B2B"/>
                <w:sz w:val="20"/>
              </w:rPr>
              <w:t>Radicado de entrega a la DNI, informe final, manuscrito, certificación y registro I9 cerrado</w:t>
            </w:r>
          </w:p>
        </w:tc>
        <w:tc>
          <w:tcPr>
            <w:tcW w:type="dxa" w:w="1399"/>
          </w:tcPr>
          <w:p>
            <w:r/>
            <w:r>
              <w:rPr>
                <w:rFonts w:ascii="Calibri" w:hAnsi="Calibri"/>
                <w:b w:val="0"/>
                <w:color w:val="2B2B2B"/>
                <w:sz w:val="20"/>
              </w:rPr>
              <w:t>Semana 11</w:t>
            </w:r>
          </w:p>
        </w:tc>
        <w:tc>
          <w:tcPr>
            <w:tcW w:type="dxa" w:w="1399"/>
          </w:tcPr>
          <w:p>
            <w:r/>
            <w:r>
              <w:rPr>
                <w:rFonts w:ascii="Calibri" w:hAnsi="Calibri"/>
                <w:b w:val="0"/>
                <w:color w:val="2B2B2B"/>
                <w:sz w:val="20"/>
              </w:rPr>
              <w:t>Semana 12</w:t>
            </w:r>
          </w:p>
        </w:tc>
      </w:tr>
    </w:tbl>
    <w:p/>
    <w:p>
      <w:pPr>
        <w:spacing w:before="200" w:after="60"/>
      </w:pPr>
      <w:r>
        <w:rPr>
          <w:rFonts w:ascii="Calibri" w:hAnsi="Calibri"/>
          <w:b/>
          <w:color w:val="007433"/>
          <w:sz w:val="32"/>
        </w:rPr>
        <w:t>Cronograma de actividades</w:t>
      </w:r>
    </w:p>
    <w:p>
      <w:r>
        <w:rPr>
          <w:rFonts w:ascii="Calibri" w:hAnsi="Calibri"/>
          <w:b w:val="0"/>
          <w:color w:val="2B2B2B"/>
          <w:sz w:val="22"/>
        </w:rPr>
        <w:t xml:space="preserve">El cronograma se estructura por </w:t>
      </w:r>
      <w:r>
        <w:rPr>
          <w:rFonts w:ascii="Calibri" w:hAnsi="Calibri"/>
          <w:b/>
          <w:color w:val="2B2B2B"/>
          <w:sz w:val="22"/>
        </w:rPr>
        <w:t>número de actividad</w:t>
      </w:r>
      <w:r>
        <w:rPr>
          <w:rFonts w:ascii="Calibri" w:hAnsi="Calibri"/>
          <w:b w:val="0"/>
          <w:color w:val="2B2B2B"/>
          <w:sz w:val="22"/>
        </w:rPr>
        <w:t xml:space="preserve"> de la estructura de objetivos y actividades (1 a</w:t>
      </w:r>
    </w:p>
    <w:p>
      <w:r>
        <w:rPr>
          <w:rFonts w:ascii="Calibri" w:hAnsi="Calibri"/>
          <w:b w:val="0"/>
          <w:color w:val="2B2B2B"/>
          <w:sz w:val="22"/>
        </w:rPr>
        <w:t xml:space="preserve">20) y se expresa en </w:t>
      </w:r>
      <w:r>
        <w:rPr>
          <w:rFonts w:ascii="Calibri" w:hAnsi="Calibri"/>
          <w:b/>
          <w:color w:val="2B2B2B"/>
          <w:sz w:val="22"/>
        </w:rPr>
        <w:t>semanas relativas (S1 a S12)</w:t>
      </w:r>
      <w:r>
        <w:rPr>
          <w:rFonts w:ascii="Calibri" w:hAnsi="Calibri"/>
          <w:b w:val="0"/>
          <w:color w:val="2B2B2B"/>
          <w:sz w:val="22"/>
        </w:rPr>
        <w:t xml:space="preserve"> contadas desde la firma del acta de inicio. No se</w:t>
      </w:r>
    </w:p>
    <w:p>
      <w:r>
        <w:rPr>
          <w:rFonts w:ascii="Calibri" w:hAnsi="Calibri"/>
          <w:b w:val="0"/>
          <w:color w:val="2B2B2B"/>
          <w:sz w:val="22"/>
        </w:rPr>
        <w:t>usan fechas de calendario: el cronograma del numeral 9 de los Términos de Referencia corresponde a fechas</w:t>
      </w:r>
    </w:p>
    <w:p>
      <w:r>
        <w:rPr>
          <w:rFonts w:ascii="Calibri" w:hAnsi="Calibri"/>
          <w:b w:val="0"/>
          <w:color w:val="2B2B2B"/>
          <w:sz w:val="22"/>
        </w:rPr>
        <w:t>ya transcurridas y el anclaje a calendario queda pendiente de confirmación de la DNI (pendiente 4). La</w:t>
      </w:r>
    </w:p>
    <w:p>
      <w:r>
        <w:rPr>
          <w:rFonts w:ascii="Calibri" w:hAnsi="Calibri"/>
          <w:b w:val="0"/>
          <w:color w:val="2B2B2B"/>
          <w:sz w:val="22"/>
        </w:rPr>
        <w:t xml:space="preserve">duración total es de </w:t>
      </w:r>
      <w:r>
        <w:rPr>
          <w:rFonts w:ascii="Calibri" w:hAnsi="Calibri"/>
          <w:b/>
          <w:color w:val="2B2B2B"/>
          <w:sz w:val="22"/>
        </w:rPr>
        <w:t>12 semanas (3 meses)</w:t>
      </w:r>
      <w:r>
        <w:rPr>
          <w:rFonts w:ascii="Calibri" w:hAnsi="Calibri"/>
          <w:b w:val="0"/>
          <w:color w:val="2B2B2B"/>
          <w:sz w:val="22"/>
        </w:rPr>
        <w:t>, consistente con la orientación del numeral 7 de priorizar</w:t>
      </w:r>
    </w:p>
    <w:p>
      <w:r>
        <w:rPr>
          <w:rFonts w:ascii="Calibri" w:hAnsi="Calibri"/>
          <w:b w:val="0"/>
          <w:color w:val="2B2B2B"/>
          <w:sz w:val="22"/>
        </w:rPr>
        <w:t>productos entregables en aproximadamente tres meses.</w:t>
      </w:r>
    </w:p>
    <w:tbl>
      <w:tblPr>
        <w:tblStyle w:val="TableGrid"/>
        <w:tblW w:type="auto" w:w="0"/>
        <w:tblLook w:firstColumn="1" w:firstRow="1" w:lastColumn="0" w:lastRow="0" w:noHBand="0" w:noVBand="1" w:val="04A0"/>
      </w:tblPr>
      <w:tblGrid>
        <w:gridCol w:w="753"/>
        <w:gridCol w:w="753"/>
        <w:gridCol w:w="753"/>
        <w:gridCol w:w="753"/>
        <w:gridCol w:w="753"/>
        <w:gridCol w:w="753"/>
        <w:gridCol w:w="753"/>
        <w:gridCol w:w="753"/>
        <w:gridCol w:w="753"/>
        <w:gridCol w:w="753"/>
        <w:gridCol w:w="753"/>
        <w:gridCol w:w="753"/>
        <w:gridCol w:w="753"/>
      </w:tblGrid>
      <w:tr>
        <w:tc>
          <w:tcPr>
            <w:tcW w:type="dxa" w:w="753"/>
            <w:shd w:val="clear" w:fill="0C2340"/>
            <w:shd w:val="clear" w:fill="0C2340"/>
          </w:tcPr>
          <w:p>
            <w:r>
              <w:rPr>
                <w:rFonts w:ascii="Calibri" w:hAnsi="Calibri"/>
                <w:b/>
                <w:color w:val="FFFFFF"/>
              </w:rPr>
            </w:r>
            <w:r>
              <w:rPr>
                <w:rFonts w:ascii="Calibri" w:hAnsi="Calibri"/>
                <w:b/>
                <w:color w:val="FFFFFF"/>
                <w:sz w:val="21"/>
              </w:rPr>
              <w:t>Actividad #</w:t>
            </w:r>
          </w:p>
        </w:tc>
        <w:tc>
          <w:tcPr>
            <w:tcW w:type="dxa" w:w="753"/>
            <w:shd w:val="clear" w:fill="0C2340"/>
            <w:shd w:val="clear" w:fill="0C2340"/>
          </w:tcPr>
          <w:p>
            <w:r>
              <w:rPr>
                <w:rFonts w:ascii="Calibri" w:hAnsi="Calibri"/>
                <w:b/>
                <w:color w:val="FFFFFF"/>
              </w:rPr>
            </w:r>
            <w:r>
              <w:rPr>
                <w:rFonts w:ascii="Calibri" w:hAnsi="Calibri"/>
                <w:b/>
                <w:color w:val="FFFFFF"/>
                <w:sz w:val="21"/>
              </w:rPr>
              <w:t>S1</w:t>
            </w:r>
          </w:p>
        </w:tc>
        <w:tc>
          <w:tcPr>
            <w:tcW w:type="dxa" w:w="753"/>
            <w:shd w:val="clear" w:fill="0C2340"/>
            <w:shd w:val="clear" w:fill="0C2340"/>
          </w:tcPr>
          <w:p>
            <w:r>
              <w:rPr>
                <w:rFonts w:ascii="Calibri" w:hAnsi="Calibri"/>
                <w:b/>
                <w:color w:val="FFFFFF"/>
              </w:rPr>
            </w:r>
            <w:r>
              <w:rPr>
                <w:rFonts w:ascii="Calibri" w:hAnsi="Calibri"/>
                <w:b/>
                <w:color w:val="FFFFFF"/>
                <w:sz w:val="21"/>
              </w:rPr>
              <w:t>S2</w:t>
            </w:r>
          </w:p>
        </w:tc>
        <w:tc>
          <w:tcPr>
            <w:tcW w:type="dxa" w:w="753"/>
            <w:shd w:val="clear" w:fill="0C2340"/>
            <w:shd w:val="clear" w:fill="0C2340"/>
          </w:tcPr>
          <w:p>
            <w:r>
              <w:rPr>
                <w:rFonts w:ascii="Calibri" w:hAnsi="Calibri"/>
                <w:b/>
                <w:color w:val="FFFFFF"/>
              </w:rPr>
            </w:r>
            <w:r>
              <w:rPr>
                <w:rFonts w:ascii="Calibri" w:hAnsi="Calibri"/>
                <w:b/>
                <w:color w:val="FFFFFF"/>
                <w:sz w:val="21"/>
              </w:rPr>
              <w:t>S3</w:t>
            </w:r>
          </w:p>
        </w:tc>
        <w:tc>
          <w:tcPr>
            <w:tcW w:type="dxa" w:w="753"/>
            <w:shd w:val="clear" w:fill="0C2340"/>
            <w:shd w:val="clear" w:fill="0C2340"/>
          </w:tcPr>
          <w:p>
            <w:r>
              <w:rPr>
                <w:rFonts w:ascii="Calibri" w:hAnsi="Calibri"/>
                <w:b/>
                <w:color w:val="FFFFFF"/>
              </w:rPr>
            </w:r>
            <w:r>
              <w:rPr>
                <w:rFonts w:ascii="Calibri" w:hAnsi="Calibri"/>
                <w:b/>
                <w:color w:val="FFFFFF"/>
                <w:sz w:val="21"/>
              </w:rPr>
              <w:t>S4</w:t>
            </w:r>
          </w:p>
        </w:tc>
        <w:tc>
          <w:tcPr>
            <w:tcW w:type="dxa" w:w="753"/>
            <w:shd w:val="clear" w:fill="0C2340"/>
            <w:shd w:val="clear" w:fill="0C2340"/>
          </w:tcPr>
          <w:p>
            <w:r>
              <w:rPr>
                <w:rFonts w:ascii="Calibri" w:hAnsi="Calibri"/>
                <w:b/>
                <w:color w:val="FFFFFF"/>
              </w:rPr>
            </w:r>
            <w:r>
              <w:rPr>
                <w:rFonts w:ascii="Calibri" w:hAnsi="Calibri"/>
                <w:b/>
                <w:color w:val="FFFFFF"/>
                <w:sz w:val="21"/>
              </w:rPr>
              <w:t>S5</w:t>
            </w:r>
          </w:p>
        </w:tc>
        <w:tc>
          <w:tcPr>
            <w:tcW w:type="dxa" w:w="753"/>
            <w:shd w:val="clear" w:fill="0C2340"/>
            <w:shd w:val="clear" w:fill="0C2340"/>
          </w:tcPr>
          <w:p>
            <w:r>
              <w:rPr>
                <w:rFonts w:ascii="Calibri" w:hAnsi="Calibri"/>
                <w:b/>
                <w:color w:val="FFFFFF"/>
              </w:rPr>
            </w:r>
            <w:r>
              <w:rPr>
                <w:rFonts w:ascii="Calibri" w:hAnsi="Calibri"/>
                <w:b/>
                <w:color w:val="FFFFFF"/>
                <w:sz w:val="21"/>
              </w:rPr>
              <w:t>S6</w:t>
            </w:r>
          </w:p>
        </w:tc>
        <w:tc>
          <w:tcPr>
            <w:tcW w:type="dxa" w:w="753"/>
            <w:shd w:val="clear" w:fill="0C2340"/>
            <w:shd w:val="clear" w:fill="0C2340"/>
          </w:tcPr>
          <w:p>
            <w:r>
              <w:rPr>
                <w:rFonts w:ascii="Calibri" w:hAnsi="Calibri"/>
                <w:b/>
                <w:color w:val="FFFFFF"/>
              </w:rPr>
            </w:r>
            <w:r>
              <w:rPr>
                <w:rFonts w:ascii="Calibri" w:hAnsi="Calibri"/>
                <w:b/>
                <w:color w:val="FFFFFF"/>
                <w:sz w:val="21"/>
              </w:rPr>
              <w:t>S7</w:t>
            </w:r>
          </w:p>
        </w:tc>
        <w:tc>
          <w:tcPr>
            <w:tcW w:type="dxa" w:w="753"/>
            <w:shd w:val="clear" w:fill="0C2340"/>
            <w:shd w:val="clear" w:fill="0C2340"/>
          </w:tcPr>
          <w:p>
            <w:r>
              <w:rPr>
                <w:rFonts w:ascii="Calibri" w:hAnsi="Calibri"/>
                <w:b/>
                <w:color w:val="FFFFFF"/>
              </w:rPr>
            </w:r>
            <w:r>
              <w:rPr>
                <w:rFonts w:ascii="Calibri" w:hAnsi="Calibri"/>
                <w:b/>
                <w:color w:val="FFFFFF"/>
                <w:sz w:val="21"/>
              </w:rPr>
              <w:t>S8</w:t>
            </w:r>
          </w:p>
        </w:tc>
        <w:tc>
          <w:tcPr>
            <w:tcW w:type="dxa" w:w="753"/>
            <w:shd w:val="clear" w:fill="0C2340"/>
            <w:shd w:val="clear" w:fill="0C2340"/>
          </w:tcPr>
          <w:p>
            <w:r>
              <w:rPr>
                <w:rFonts w:ascii="Calibri" w:hAnsi="Calibri"/>
                <w:b/>
                <w:color w:val="FFFFFF"/>
              </w:rPr>
            </w:r>
            <w:r>
              <w:rPr>
                <w:rFonts w:ascii="Calibri" w:hAnsi="Calibri"/>
                <w:b/>
                <w:color w:val="FFFFFF"/>
                <w:sz w:val="21"/>
              </w:rPr>
              <w:t>S9</w:t>
            </w:r>
          </w:p>
        </w:tc>
        <w:tc>
          <w:tcPr>
            <w:tcW w:type="dxa" w:w="753"/>
            <w:shd w:val="clear" w:fill="0C2340"/>
            <w:shd w:val="clear" w:fill="0C2340"/>
          </w:tcPr>
          <w:p>
            <w:r>
              <w:rPr>
                <w:rFonts w:ascii="Calibri" w:hAnsi="Calibri"/>
                <w:b/>
                <w:color w:val="FFFFFF"/>
              </w:rPr>
            </w:r>
            <w:r>
              <w:rPr>
                <w:rFonts w:ascii="Calibri" w:hAnsi="Calibri"/>
                <w:b/>
                <w:color w:val="FFFFFF"/>
                <w:sz w:val="21"/>
              </w:rPr>
              <w:t>S10</w:t>
            </w:r>
          </w:p>
        </w:tc>
        <w:tc>
          <w:tcPr>
            <w:tcW w:type="dxa" w:w="753"/>
            <w:shd w:val="clear" w:fill="0C2340"/>
            <w:shd w:val="clear" w:fill="0C2340"/>
          </w:tcPr>
          <w:p>
            <w:r>
              <w:rPr>
                <w:rFonts w:ascii="Calibri" w:hAnsi="Calibri"/>
                <w:b/>
                <w:color w:val="FFFFFF"/>
              </w:rPr>
            </w:r>
            <w:r>
              <w:rPr>
                <w:rFonts w:ascii="Calibri" w:hAnsi="Calibri"/>
                <w:b/>
                <w:color w:val="FFFFFF"/>
                <w:sz w:val="21"/>
              </w:rPr>
              <w:t>S11</w:t>
            </w:r>
          </w:p>
        </w:tc>
        <w:tc>
          <w:tcPr>
            <w:tcW w:type="dxa" w:w="753"/>
            <w:shd w:val="clear" w:fill="0C2340"/>
            <w:shd w:val="clear" w:fill="0C2340"/>
          </w:tcPr>
          <w:p>
            <w:r>
              <w:rPr>
                <w:rFonts w:ascii="Calibri" w:hAnsi="Calibri"/>
                <w:b/>
                <w:color w:val="FFFFFF"/>
              </w:rPr>
            </w:r>
            <w:r>
              <w:rPr>
                <w:rFonts w:ascii="Calibri" w:hAnsi="Calibri"/>
                <w:b/>
                <w:color w:val="FFFFFF"/>
                <w:sz w:val="21"/>
              </w:rPr>
              <w:t>S12</w:t>
            </w:r>
          </w:p>
        </w:tc>
      </w:tr>
      <w:tr>
        <w:tc>
          <w:tcPr>
            <w:tcW w:type="dxa" w:w="753"/>
          </w:tcPr>
          <w:p>
            <w:r/>
            <w:r>
              <w:rPr>
                <w:rFonts w:ascii="Calibri" w:hAnsi="Calibri"/>
                <w:b w:val="0"/>
                <w:color w:val="2B2B2B"/>
                <w:sz w:val="20"/>
              </w:rPr>
              <w:t>1</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2</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3</w:t>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4</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5</w:t>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6</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7</w:t>
            </w:r>
          </w:p>
        </w:tc>
        <w:tc>
          <w:tcPr>
            <w:tcW w:type="dxa" w:w="753"/>
          </w:tcPr>
          <w:p>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8</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9</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10</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11</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12</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13</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14</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15</w:t>
            </w:r>
          </w:p>
        </w:tc>
        <w:tc>
          <w:tcPr>
            <w:tcW w:type="dxa" w:w="753"/>
          </w:tcPr>
          <w:p>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16</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17</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18</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19</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r>
      <w:tr>
        <w:tc>
          <w:tcPr>
            <w:tcW w:type="dxa" w:w="753"/>
            <w:shd w:val="clear" w:fill="F5F7F5"/>
            <w:shd w:val="clear" w:fill="F5F7F5"/>
          </w:tcPr>
          <w:p>
            <w:r/>
            <w:r>
              <w:rPr>
                <w:rFonts w:ascii="Calibri" w:hAnsi="Calibri"/>
                <w:b w:val="0"/>
                <w:color w:val="2B2B2B"/>
                <w:sz w:val="20"/>
              </w:rPr>
              <w:t>20</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r>
    </w:tbl>
    <w:p/>
    <w:p>
      <w:r>
        <w:rPr>
          <w:rFonts w:ascii="Calibri" w:hAnsi="Calibri"/>
          <w:b/>
          <w:color w:val="2B2B2B"/>
          <w:sz w:val="22"/>
        </w:rPr>
        <w:t>Correspondencia con los objetivos específicos.</w:t>
      </w:r>
      <w:r>
        <w:rPr>
          <w:rFonts w:ascii="Calibri" w:hAnsi="Calibri"/>
          <w:b w:val="0"/>
          <w:color w:val="2B2B2B"/>
          <w:sz w:val="22"/>
        </w:rPr>
        <w:t xml:space="preserve"> OE1 → actividades </w:t>
      </w:r>
      <w:r>
        <w:rPr>
          <w:rFonts w:ascii="Calibri" w:hAnsi="Calibri"/>
          <w:b/>
          <w:color w:val="2B2B2B"/>
          <w:sz w:val="22"/>
        </w:rPr>
        <w:t>1 a 7</w:t>
      </w:r>
      <w:r>
        <w:rPr>
          <w:rFonts w:ascii="Calibri" w:hAnsi="Calibri"/>
          <w:b w:val="0"/>
          <w:color w:val="2B2B2B"/>
          <w:sz w:val="22"/>
        </w:rPr>
        <w:t xml:space="preserve"> (S1–S6). OE2 → actividades</w:t>
      </w:r>
    </w:p>
    <w:p>
      <w:r>
        <w:rPr>
          <w:rFonts w:ascii="Calibri" w:hAnsi="Calibri"/>
          <w:b/>
          <w:color w:val="2B2B2B"/>
          <w:sz w:val="22"/>
        </w:rPr>
        <w:t>8 a 13</w:t>
      </w:r>
      <w:r>
        <w:rPr>
          <w:rFonts w:ascii="Calibri" w:hAnsi="Calibri"/>
          <w:b w:val="0"/>
          <w:color w:val="2B2B2B"/>
          <w:sz w:val="22"/>
        </w:rPr>
        <w:t xml:space="preserve"> (S5–S10). OE3 → actividades </w:t>
      </w:r>
      <w:r>
        <w:rPr>
          <w:rFonts w:ascii="Calibri" w:hAnsi="Calibri"/>
          <w:b/>
          <w:color w:val="2B2B2B"/>
          <w:sz w:val="22"/>
        </w:rPr>
        <w:t>14 a 19</w:t>
      </w:r>
      <w:r>
        <w:rPr>
          <w:rFonts w:ascii="Calibri" w:hAnsi="Calibri"/>
          <w:b w:val="0"/>
          <w:color w:val="2B2B2B"/>
          <w:sz w:val="22"/>
        </w:rPr>
        <w:t xml:space="preserve"> (S4–S11). Cierre transversal → actividad </w:t>
      </w:r>
      <w:r>
        <w:rPr>
          <w:rFonts w:ascii="Calibri" w:hAnsi="Calibri"/>
          <w:b/>
          <w:color w:val="2B2B2B"/>
          <w:sz w:val="22"/>
        </w:rPr>
        <w:t>20</w:t>
      </w:r>
    </w:p>
    <w:p>
      <w:r>
        <w:rPr>
          <w:rFonts w:ascii="Calibri" w:hAnsi="Calibri"/>
          <w:b w:val="0"/>
          <w:color w:val="2B2B2B"/>
          <w:sz w:val="22"/>
        </w:rPr>
        <w:t>(S11–S12). Las tres ventanas coinciden exactamente con las declaradas en los objetivos específicos, y la</w:t>
      </w:r>
    </w:p>
    <w:p>
      <w:r>
        <w:rPr>
          <w:rFonts w:ascii="Calibri" w:hAnsi="Calibri"/>
          <w:b w:val="0"/>
          <w:color w:val="2B2B2B"/>
          <w:sz w:val="22"/>
        </w:rPr>
        <w:t>suma de todas cubre las 12 semanas sin dejar ninguna vacía.</w:t>
      </w:r>
    </w:p>
    <w:p>
      <w:r>
        <w:rPr>
          <w:rFonts w:ascii="Calibri" w:hAnsi="Calibri"/>
          <w:b/>
          <w:color w:val="2B2B2B"/>
          <w:sz w:val="22"/>
        </w:rPr>
        <w:t>Por qué los traslapes son necesarios y no descuido.</w:t>
      </w:r>
      <w:r>
        <w:rPr>
          <w:rFonts w:ascii="Calibri" w:hAnsi="Calibri"/>
          <w:b w:val="0"/>
          <w:color w:val="2B2B2B"/>
          <w:sz w:val="22"/>
        </w:rPr>
        <w:t xml:space="preserve"> El objetivo específico 3 **arranca en S4, antes de</w:t>
      </w:r>
    </w:p>
    <w:p>
      <w:r>
        <w:rPr>
          <w:rFonts w:ascii="Calibri" w:hAnsi="Calibri"/>
          <w:b w:val="0"/>
          <w:color w:val="2B2B2B"/>
          <w:sz w:val="22"/>
        </w:rPr>
        <w:t>que termine el diagnóstico**, porque la construcción del conjunto sintético y la inyección de anomalías no</w:t>
      </w:r>
    </w:p>
    <w:p>
      <w:r>
        <w:rPr>
          <w:rFonts w:ascii="Calibri" w:hAnsi="Calibri"/>
          <w:b w:val="0"/>
          <w:color w:val="2B2B2B"/>
          <w:sz w:val="22"/>
        </w:rPr>
        <w:t>dependen de los resultados del cuestionario sino solo de la estructura de los registros, y postergarla</w:t>
      </w:r>
    </w:p>
    <w:p>
      <w:r>
        <w:rPr>
          <w:rFonts w:ascii="Calibri" w:hAnsi="Calibri"/>
          <w:b w:val="0"/>
          <w:color w:val="2B2B2B"/>
          <w:sz w:val="22"/>
        </w:rPr>
        <w:t xml:space="preserve">dejaría la evaluación del detector fuera del plazo. El instrumento se </w:t>
      </w:r>
      <w:r>
        <w:rPr>
          <w:rFonts w:ascii="Calibri" w:hAnsi="Calibri"/>
          <w:b/>
          <w:color w:val="2B2B2B"/>
          <w:sz w:val="22"/>
        </w:rPr>
        <w:t>congela en S4</w:t>
      </w:r>
      <w:r>
        <w:rPr>
          <w:rFonts w:ascii="Calibri" w:hAnsi="Calibri"/>
          <w:b w:val="0"/>
          <w:color w:val="2B2B2B"/>
          <w:sz w:val="22"/>
        </w:rPr>
        <w:t xml:space="preserve"> (actividad 5)</w:t>
      </w:r>
    </w:p>
    <w:p>
      <w:r>
        <w:rPr>
          <w:rFonts w:ascii="Calibri" w:hAnsi="Calibri"/>
          <w:b w:val="0"/>
          <w:color w:val="2B2B2B"/>
          <w:sz w:val="22"/>
        </w:rPr>
        <w:t>justo antes de la primera visita, de modo que ninguna calificación se recoge con un instrumento en</w:t>
      </w:r>
    </w:p>
    <w:p>
      <w:r>
        <w:rPr>
          <w:rFonts w:ascii="Calibri" w:hAnsi="Calibri"/>
          <w:b w:val="0"/>
          <w:color w:val="2B2B2B"/>
          <w:sz w:val="22"/>
        </w:rPr>
        <w:t xml:space="preserve">movimiento. La actividad 17 dura </w:t>
      </w:r>
      <w:r>
        <w:rPr>
          <w:rFonts w:ascii="Calibri" w:hAnsi="Calibri"/>
          <w:b/>
          <w:color w:val="2B2B2B"/>
          <w:sz w:val="22"/>
        </w:rPr>
        <w:t>una sola semana</w:t>
      </w:r>
      <w:r>
        <w:rPr>
          <w:rFonts w:ascii="Calibri" w:hAnsi="Calibri"/>
          <w:b w:val="0"/>
          <w:color w:val="2B2B2B"/>
          <w:sz w:val="22"/>
        </w:rPr>
        <w:t xml:space="preserve"> porque es cálculo sobre datos ya construidos con</w:t>
      </w:r>
    </w:p>
    <w:p>
      <w:r>
        <w:rPr>
          <w:rFonts w:ascii="Calibri" w:hAnsi="Calibri"/>
          <w:b w:val="0"/>
          <w:color w:val="2B2B2B"/>
          <w:sz w:val="22"/>
        </w:rPr>
        <w:t xml:space="preserve">código ya implementado; su brevedad es real, no un recorte. La actividad 18 termina en </w:t>
      </w:r>
      <w:r>
        <w:rPr>
          <w:rFonts w:ascii="Calibri" w:hAnsi="Calibri"/>
          <w:b/>
          <w:color w:val="2B2B2B"/>
          <w:sz w:val="22"/>
        </w:rPr>
        <w:t>S9</w:t>
      </w:r>
      <w:r>
        <w:rPr>
          <w:rFonts w:ascii="Calibri" w:hAnsi="Calibri"/>
          <w:b w:val="0"/>
          <w:color w:val="2B2B2B"/>
          <w:sz w:val="22"/>
        </w:rPr>
        <w:t xml:space="preserve"> de forma</w:t>
      </w:r>
    </w:p>
    <w:p>
      <w:r>
        <w:rPr>
          <w:rFonts w:ascii="Calibri" w:hAnsi="Calibri"/>
          <w:b w:val="0"/>
          <w:color w:val="2B2B2B"/>
          <w:sz w:val="22"/>
        </w:rPr>
        <w:t>deliberada: sus hallazgos son insumo de la actividad 12, que consolida la versión final del modelo entre</w:t>
      </w:r>
    </w:p>
    <w:p>
      <w:r>
        <w:rPr>
          <w:rFonts w:ascii="Calibri" w:hAnsi="Calibri"/>
          <w:b w:val="0"/>
          <w:color w:val="2B2B2B"/>
          <w:sz w:val="22"/>
        </w:rPr>
        <w:t>S9 y S10, y si terminara más tarde el componente D7 del modelo se cerraría sin ellos. El único</w:t>
      </w:r>
    </w:p>
    <w:p>
      <w:r>
        <w:rPr>
          <w:rFonts w:ascii="Calibri" w:hAnsi="Calibri"/>
          <w:b w:val="0"/>
          <w:color w:val="2B2B2B"/>
          <w:sz w:val="22"/>
        </w:rPr>
        <w:t>encadenamiento que el plazo no permite corregir es que la validación de aplicabilidad (actividad 11,</w:t>
      </w:r>
    </w:p>
    <w:p>
      <w:r>
        <w:rPr>
          <w:rFonts w:ascii="Calibri" w:hAnsi="Calibri"/>
          <w:b w:val="0"/>
          <w:color w:val="2B2B2B"/>
          <w:sz w:val="22"/>
        </w:rPr>
        <w:t xml:space="preserve">S8–S9) ocurre </w:t>
      </w:r>
      <w:r>
        <w:rPr>
          <w:rFonts w:ascii="Calibri" w:hAnsi="Calibri"/>
          <w:b/>
          <w:color w:val="2B2B2B"/>
          <w:sz w:val="22"/>
        </w:rPr>
        <w:t>antes</w:t>
      </w:r>
      <w:r>
        <w:rPr>
          <w:rFonts w:ascii="Calibri" w:hAnsi="Calibri"/>
          <w:b w:val="0"/>
          <w:color w:val="2B2B2B"/>
          <w:sz w:val="22"/>
        </w:rPr>
        <w:t xml:space="preserve"> de esa integración; por eso las recomendaciones que aporta el prototipo quedan</w:t>
      </w:r>
    </w:p>
    <w:p>
      <w:r>
        <w:rPr>
          <w:rFonts w:ascii="Calibri" w:hAnsi="Calibri"/>
          <w:b w:val="0"/>
          <w:color w:val="2B2B2B"/>
          <w:sz w:val="22"/>
        </w:rPr>
        <w:t>marcadas como no sometidas al juicio de H3, tal como se declara en la quinta limitación de la metodología.</w:t>
      </w:r>
    </w:p>
    <w:p>
      <w:r>
        <w:rPr>
          <w:rFonts w:ascii="Calibri" w:hAnsi="Calibri"/>
          <w:b/>
          <w:color w:val="2B2B2B"/>
          <w:sz w:val="22"/>
        </w:rPr>
        <w:t>Riesgos del cronograma, con su respuesta.</w:t>
      </w:r>
      <w:r>
        <w:rPr>
          <w:rFonts w:ascii="Calibri" w:hAnsi="Calibri"/>
          <w:b w:val="0"/>
          <w:color w:val="2B2B2B"/>
          <w:sz w:val="22"/>
        </w:rPr>
        <w:t xml:space="preserve"> El camino crítico no pasa por el prototipo sino por la</w:t>
      </w:r>
    </w:p>
    <w:p>
      <w:r>
        <w:rPr>
          <w:rFonts w:ascii="Calibri" w:hAnsi="Calibri"/>
          <w:b/>
          <w:color w:val="2B2B2B"/>
          <w:sz w:val="22"/>
        </w:rPr>
        <w:t>actividad 1</w:t>
      </w:r>
      <w:r>
        <w:rPr>
          <w:rFonts w:ascii="Calibri" w:hAnsi="Calibri"/>
          <w:b w:val="0"/>
          <w:color w:val="2B2B2B"/>
          <w:sz w:val="22"/>
        </w:rPr>
        <w:t>: si las cartas del Anexo 3 o el aval del Comité de Ética se demoran más allá de S2, todas</w:t>
      </w:r>
    </w:p>
    <w:p>
      <w:r>
        <w:rPr>
          <w:rFonts w:ascii="Calibri" w:hAnsi="Calibri"/>
          <w:b w:val="0"/>
          <w:color w:val="2B2B2B"/>
          <w:sz w:val="22"/>
        </w:rPr>
        <w:t>las ventanas de OE1 y OE2 se desplazan y el estudio no cabe en 12 semanas. La respuesta está escrita en el</w:t>
      </w:r>
    </w:p>
    <w:p>
      <w:r>
        <w:rPr>
          <w:rFonts w:ascii="Calibri" w:hAnsi="Calibri"/>
          <w:b w:val="0"/>
          <w:color w:val="2B2B2B"/>
          <w:sz w:val="22"/>
        </w:rPr>
        <w:t>pendiente 5 y es la única honesta: se ajusta el alcance por escrito ante la DNI o se posterga, no se</w:t>
      </w:r>
    </w:p>
    <w:p>
      <w:r>
        <w:rPr>
          <w:rFonts w:ascii="Calibri" w:hAnsi="Calibri"/>
          <w:b w:val="0"/>
          <w:color w:val="2B2B2B"/>
          <w:sz w:val="22"/>
        </w:rPr>
        <w:t>comprime el diagnóstico ni se renuncia a la doble calificación, que es la condición de fiabilidad del</w:t>
      </w:r>
    </w:p>
    <w:p>
      <w:r>
        <w:rPr>
          <w:rFonts w:ascii="Calibri" w:hAnsi="Calibri"/>
          <w:b w:val="0"/>
          <w:color w:val="2B2B2B"/>
          <w:sz w:val="22"/>
        </w:rPr>
        <w:t>resultado. En cambio, un retraso en el componente técnico (actividades 14 a 19) es absorbible: no bloquea</w:t>
      </w:r>
    </w:p>
    <w:p>
      <w:r>
        <w:rPr>
          <w:rFonts w:ascii="Calibri" w:hAnsi="Calibri"/>
          <w:b w:val="0"/>
          <w:color w:val="2B2B2B"/>
          <w:sz w:val="22"/>
        </w:rPr>
        <w:t>a OE1 ni a OE2 y solo afecta al aporte del prototipo al componente D7 del modelo, que ya está declarado</w:t>
      </w:r>
    </w:p>
    <w:p>
      <w:r>
        <w:rPr>
          <w:rFonts w:ascii="Calibri" w:hAnsi="Calibri"/>
          <w:b w:val="0"/>
          <w:color w:val="2B2B2B"/>
          <w:sz w:val="22"/>
        </w:rPr>
        <w:t>como marcado y no validado.</w:t>
      </w:r>
    </w:p>
    <w:p>
      <w:pPr>
        <w:spacing w:before="200" w:after="60"/>
      </w:pPr>
      <w:r>
        <w:rPr>
          <w:rFonts w:ascii="Calibri" w:hAnsi="Calibri"/>
          <w:b/>
          <w:color w:val="007433"/>
          <w:sz w:val="32"/>
        </w:rPr>
        <w:t>Control de cambios</w:t>
      </w:r>
    </w:p>
    <w:p>
      <w:r>
        <w:rPr>
          <w:rFonts w:ascii="Calibri" w:hAnsi="Calibri"/>
          <w:b w:val="0"/>
          <w:color w:val="2B2B2B"/>
          <w:sz w:val="22"/>
        </w:rPr>
        <w:t xml:space="preserve">Corresponde al campo </w:t>
      </w:r>
      <w:r>
        <w:rPr>
          <w:rFonts w:ascii="Calibri" w:hAnsi="Calibri"/>
          <w:b/>
          <w:color w:val="2B2B2B"/>
          <w:sz w:val="22"/>
        </w:rPr>
        <w:t>CONTROL DE CAMBIOS</w:t>
      </w:r>
      <w:r>
        <w:rPr>
          <w:rFonts w:ascii="Calibri" w:hAnsi="Calibri"/>
          <w:b w:val="0"/>
          <w:color w:val="2B2B2B"/>
          <w:sz w:val="22"/>
        </w:rPr>
        <w:t xml:space="preserve"> del INV-FO03, que cierra el formato después del cronograma.</w:t>
      </w:r>
    </w:p>
    <w:p>
      <w:r>
        <w:rPr>
          <w:rFonts w:ascii="Calibri" w:hAnsi="Calibri"/>
          <w:b w:val="0"/>
          <w:color w:val="2B2B2B"/>
          <w:sz w:val="22"/>
        </w:rPr>
        <w:t xml:space="preserve">Las fechas de esta tabla son fechas de </w:t>
      </w:r>
      <w:r>
        <w:rPr>
          <w:rFonts w:ascii="Calibri" w:hAnsi="Calibri"/>
          <w:b/>
          <w:color w:val="2B2B2B"/>
          <w:sz w:val="22"/>
        </w:rPr>
        <w:t>versionamiento del documento</w:t>
      </w:r>
      <w:r>
        <w:rPr>
          <w:rFonts w:ascii="Calibri" w:hAnsi="Calibri"/>
          <w:b w:val="0"/>
          <w:color w:val="2B2B2B"/>
          <w:sz w:val="22"/>
        </w:rPr>
        <w:t xml:space="preserve"> y no fechas de ejecución: el</w:t>
      </w:r>
    </w:p>
    <w:p>
      <w:r>
        <w:rPr>
          <w:rFonts w:ascii="Calibri" w:hAnsi="Calibri"/>
          <w:b w:val="0"/>
          <w:color w:val="2B2B2B"/>
          <w:sz w:val="22"/>
        </w:rPr>
        <w:t>cronograma del proyecto sigue expresado en semanas relativas (pendiente 4).</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Fecha</w:t>
            </w:r>
          </w:p>
        </w:tc>
        <w:tc>
          <w:tcPr>
            <w:tcW w:type="dxa" w:w="3264"/>
            <w:shd w:val="clear" w:fill="0C2340"/>
            <w:shd w:val="clear" w:fill="0C2340"/>
          </w:tcPr>
          <w:p>
            <w:r>
              <w:rPr>
                <w:rFonts w:ascii="Calibri" w:hAnsi="Calibri"/>
                <w:b/>
                <w:color w:val="FFFFFF"/>
              </w:rPr>
            </w:r>
            <w:r>
              <w:rPr>
                <w:rFonts w:ascii="Calibri" w:hAnsi="Calibri"/>
                <w:b/>
                <w:color w:val="FFFFFF"/>
                <w:sz w:val="21"/>
              </w:rPr>
              <w:t>Versión</w:t>
            </w:r>
          </w:p>
        </w:tc>
        <w:tc>
          <w:tcPr>
            <w:tcW w:type="dxa" w:w="3264"/>
            <w:shd w:val="clear" w:fill="0C2340"/>
            <w:shd w:val="clear" w:fill="0C2340"/>
          </w:tcPr>
          <w:p>
            <w:r>
              <w:rPr>
                <w:rFonts w:ascii="Calibri" w:hAnsi="Calibri"/>
                <w:b/>
                <w:color w:val="FFFFFF"/>
              </w:rPr>
            </w:r>
            <w:r>
              <w:rPr>
                <w:rFonts w:ascii="Calibri" w:hAnsi="Calibri"/>
                <w:b/>
                <w:color w:val="FFFFFF"/>
                <w:sz w:val="21"/>
              </w:rPr>
              <w:t>Descripción del cambio</w:t>
            </w:r>
          </w:p>
        </w:tc>
      </w:tr>
      <w:tr>
        <w:tc>
          <w:tcPr>
            <w:tcW w:type="dxa" w:w="3264"/>
          </w:tcPr>
          <w:p>
            <w:r/>
            <w:r>
              <w:rPr>
                <w:rFonts w:ascii="Calibri" w:hAnsi="Calibri"/>
                <w:b w:val="0"/>
                <w:color w:val="2B2B2B"/>
                <w:sz w:val="20"/>
              </w:rPr>
              <w:t>13/08/2026</w:t>
            </w:r>
          </w:p>
        </w:tc>
        <w:tc>
          <w:tcPr>
            <w:tcW w:type="dxa" w:w="3264"/>
          </w:tcPr>
          <w:p>
            <w:r/>
            <w:r>
              <w:rPr>
                <w:rFonts w:ascii="Calibri" w:hAnsi="Calibri"/>
                <w:b w:val="0"/>
                <w:color w:val="2B2B2B"/>
                <w:sz w:val="20"/>
              </w:rPr>
              <w:t>1.0</w:t>
            </w:r>
          </w:p>
        </w:tc>
        <w:tc>
          <w:tcPr>
            <w:tcW w:type="dxa" w:w="3264"/>
          </w:tcPr>
          <w:p>
            <w:r/>
            <w:r>
              <w:rPr>
                <w:rFonts w:ascii="Calibri" w:hAnsi="Calibri"/>
                <w:b w:val="0"/>
                <w:color w:val="2B2B2B"/>
                <w:sz w:val="20"/>
              </w:rPr>
              <w:t>Propuesta breve de Fase 1 (</w:t>
            </w:r>
            <w:r>
              <w:rPr>
                <w:rFonts w:ascii="Consolas" w:hAnsi="Consolas"/>
                <w:color w:val="111111"/>
                <w:sz w:val="19"/>
              </w:rPr>
              <w:t>Propuesta 4 - Ciberseguridad y Datos en PYMES.md</w:t>
            </w:r>
            <w:r>
              <w:rPr>
                <w:rFonts w:ascii="Calibri" w:hAnsi="Calibri"/>
                <w:b w:val="0"/>
                <w:color w:val="2B2B2B"/>
                <w:sz w:val="20"/>
              </w:rPr>
              <w:t>): título, eje dinamizador, objetivo general y esbozo de productos, sin diligenciar el INV-FO03.</w:t>
            </w:r>
          </w:p>
        </w:tc>
      </w:tr>
      <w:tr>
        <w:tc>
          <w:tcPr>
            <w:tcW w:type="dxa" w:w="3264"/>
            <w:shd w:val="clear" w:fill="F5F7F5"/>
            <w:shd w:val="clear" w:fill="F5F7F5"/>
          </w:tcPr>
          <w:p>
            <w:r/>
            <w:r>
              <w:rPr>
                <w:rFonts w:ascii="Calibri" w:hAnsi="Calibri"/>
                <w:b w:val="0"/>
                <w:color w:val="2B2B2B"/>
                <w:sz w:val="20"/>
              </w:rPr>
              <w:t>15/08/2026</w:t>
            </w:r>
          </w:p>
        </w:tc>
        <w:tc>
          <w:tcPr>
            <w:tcW w:type="dxa" w:w="3264"/>
            <w:shd w:val="clear" w:fill="F5F7F5"/>
            <w:shd w:val="clear" w:fill="F5F7F5"/>
          </w:tcPr>
          <w:p>
            <w:r/>
            <w:r>
              <w:rPr>
                <w:rFonts w:ascii="Calibri" w:hAnsi="Calibri"/>
                <w:b w:val="0"/>
                <w:color w:val="2B2B2B"/>
                <w:sz w:val="20"/>
              </w:rPr>
              <w:t>2.0</w:t>
            </w:r>
          </w:p>
        </w:tc>
        <w:tc>
          <w:tcPr>
            <w:tcW w:type="dxa" w:w="3264"/>
            <w:shd w:val="clear" w:fill="F5F7F5"/>
            <w:shd w:val="clear" w:fill="F5F7F5"/>
          </w:tcPr>
          <w:p>
            <w:r/>
            <w:r>
              <w:rPr>
                <w:rFonts w:ascii="Calibri" w:hAnsi="Calibri"/>
                <w:b w:val="0"/>
                <w:color w:val="2B2B2B"/>
                <w:sz w:val="20"/>
              </w:rPr>
              <w:t>Diligenciamiento completo del INV-FO03 como anteproyecto: identificación, elementos preliminares, tipo de propuesta, resumen (196 palabras), eje dinamizador con justificación, impacto/viabilidad/retorno, aplicación de herramientas IA, antecedentes, planteamiento y formulación del problema, justificación, alcance con exclusiones explícitas, objetivo general y tres específicos, cinco hipótesis con umbrales fijados por adelantado, marco teórico (1.989 palabras, IEEE, 25 referencias), metodología con nueve instrumentos, resultados y productos en las cuatro tipologías, presupuesto de $4.980.000, aspectos éticos, estructura de 20 actividades consecutivas y cronograma de 12 semanas relativas.</w:t>
            </w:r>
          </w:p>
        </w:tc>
      </w:tr>
      <w:tr>
        <w:tc>
          <w:tcPr>
            <w:tcW w:type="dxa" w:w="3264"/>
          </w:tcPr>
          <w:p>
            <w:r/>
            <w:r>
              <w:rPr>
                <w:rFonts w:ascii="Calibri" w:hAnsi="Calibri"/>
                <w:b w:val="0"/>
                <w:color w:val="2B2B2B"/>
                <w:sz w:val="20"/>
              </w:rPr>
              <w:t>15/08/2026</w:t>
            </w:r>
          </w:p>
        </w:tc>
        <w:tc>
          <w:tcPr>
            <w:tcW w:type="dxa" w:w="3264"/>
          </w:tcPr>
          <w:p>
            <w:r/>
            <w:r>
              <w:rPr>
                <w:rFonts w:ascii="Calibri" w:hAnsi="Calibri"/>
                <w:b w:val="0"/>
                <w:color w:val="2B2B2B"/>
                <w:sz w:val="20"/>
              </w:rPr>
              <w:t>2.1</w:t>
            </w:r>
          </w:p>
        </w:tc>
        <w:tc>
          <w:tcPr>
            <w:tcW w:type="dxa" w:w="3264"/>
          </w:tcPr>
          <w:p>
            <w:r/>
            <w:r>
              <w:rPr>
                <w:rFonts w:ascii="Calibri" w:hAnsi="Calibri"/>
                <w:b w:val="0"/>
                <w:color w:val="2B2B2B"/>
                <w:sz w:val="20"/>
              </w:rPr>
              <w:t>Auditoría interna previa a la radicación: renumeración de la lista de referencias al orden real de primera aparición (afecta a [13]–[15] y [21]–[23]); corrección de la declaración de acceso de las entradas, que contradecía el apartado de propiedad intelectual respecto de ISO/IEC 27001 y 27002; armonización de las actividades 14 y 18 sobre el número de organizaciones que entregan registros; incorporación en la actividad 20 del cierre del registro I9 que soporta el indicador 4 del plan de evaluación de impacto; e incorporación de este campo de control de cambios.</w:t>
            </w:r>
          </w:p>
        </w:tc>
      </w:tr>
    </w:tbl>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