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p>
            <w:pPr>
              <w:jc w:val="right"/>
            </w:pPr>
            <w:r>
              <w:rPr>
                <w:rFonts w:ascii="Calibri" w:hAnsi="Calibri" w:eastAsia="Calibri" w:cs="Calibri"/>
                <w:b w:val="0"/>
                <w:color w:val="007433"/>
                <w:sz w:val="16"/>
              </w:rPr>
              <w:t>Convocatoria interna CUN 2026 (Fase II) · Propuesta de anteproyecto — Fase 1</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Propuesta 4 · Diagnóstico y Modelo de Buenas Prácticas de Protección de Datos y Ciberseguridad para Pymes Aliadas de la CUN</w:t>
      </w:r>
    </w:p>
    <w:p>
      <w:r>
        <w:rPr>
          <w:rFonts w:ascii="Calibri" w:hAnsi="Calibri"/>
          <w:b/>
          <w:color w:val="2B2B2B"/>
          <w:sz w:val="22"/>
        </w:rPr>
        <w:t>Fase 1 · Propuesta de anteproyecto (nivel ideación) — Convocatoria interna CUN 2026 (Fase II)</w:t>
      </w:r>
    </w:p>
    <w:p>
      <w:r>
        <w:rPr>
          <w:rFonts w:ascii="Calibri" w:hAnsi="Calibri"/>
          <w:b/>
          <w:color w:val="2B2B2B"/>
          <w:sz w:val="22"/>
        </w:rPr>
        <w:t>Formato de referencia:</w:t>
      </w:r>
      <w:r>
        <w:rPr>
          <w:rFonts w:ascii="Calibri" w:hAnsi="Calibri"/>
          <w:b w:val="0"/>
          <w:color w:val="2B2B2B"/>
          <w:sz w:val="22"/>
        </w:rPr>
        <w:t xml:space="preserve"> INV-FO03 (Anexo 2) — este documento no es el formulario completo, es el resumen ejecutivo para decidir si se lleva a Fase 2.</w:t>
      </w:r>
    </w:p>
    <w:p>
      <w:r>
        <w:rPr>
          <w:rFonts w:ascii="Calibri" w:hAnsi="Calibri"/>
          <w:b/>
          <w:color w:val="2B2B2B"/>
          <w:sz w:val="22"/>
        </w:rPr>
        <w:t>Investigador principal:</w:t>
      </w:r>
      <w:r>
        <w:rPr>
          <w:rFonts w:ascii="Calibri" w:hAnsi="Calibri"/>
          <w:b w:val="0"/>
          <w:color w:val="2B2B2B"/>
          <w:sz w:val="22"/>
        </w:rPr>
        <w:t xml:space="preserve"> Julian Andres Castaño — docente Ingeniería de Sistemas / Especialización en Inteligencia Artificial, CUN.</w:t>
      </w:r>
    </w:p>
    <w:p>
      <w:r>
        <w:rPr>
          <w:rFonts w:ascii="Calibri" w:hAnsi="Calibri"/>
          <w:b/>
          <w:color w:val="2B2B2B"/>
          <w:sz w:val="22"/>
        </w:rPr>
        <w:t>Correo:</w:t>
      </w:r>
      <w:r>
        <w:rPr>
          <w:rFonts w:ascii="Calibri" w:hAnsi="Calibri"/>
          <w:b w:val="0"/>
          <w:color w:val="2B2B2B"/>
          <w:sz w:val="22"/>
        </w:rPr>
        <w:t xml:space="preserve"> julian_castanoe@cun.edu.co</w:t>
      </w:r>
    </w:p>
    <w:p>
      <w:pPr>
        <w:ind w:left="432"/>
        <w:shd w:val="clear" w:fill="E8F5EC"/>
      </w:pPr>
      <w:r>
        <w:rPr>
          <w:rFonts w:ascii="Calibri" w:hAnsi="Calibri"/>
          <w:b/>
          <w:i/>
          <w:color w:val="2B2B2B"/>
          <w:sz w:val="21"/>
        </w:rPr>
        <w:t>Advertencia de requisitos (Términos de Referencia, numeral 5.1) — verificar, no asumir resuelto:</w:t>
      </w:r>
    </w:p>
    <w:p>
      <w:pPr>
        <w:ind w:left="432"/>
        <w:shd w:val="clear" w:fill="E8F5EC"/>
      </w:pPr>
      <w:r>
        <w:rPr>
          <w:rFonts w:ascii="Calibri" w:hAnsi="Calibri"/>
          <w:b w:val="0"/>
          <w:i/>
          <w:color w:val="2B2B2B"/>
          <w:sz w:val="21"/>
        </w:rPr>
        <w:t xml:space="preserve">Para presentarse como investigador principal se exige (a) vinculación activa a la CUN como docente investigador con </w:t>
      </w:r>
      <w:r>
        <w:rPr>
          <w:rFonts w:ascii="Calibri" w:hAnsi="Calibri"/>
          <w:b/>
          <w:i/>
          <w:color w:val="2B2B2B"/>
          <w:sz w:val="21"/>
        </w:rPr>
        <w:t>contrato de tiempo completo</w:t>
      </w:r>
      <w:r>
        <w:rPr>
          <w:rFonts w:ascii="Calibri" w:hAnsi="Calibri"/>
          <w:b w:val="0"/>
          <w:i/>
          <w:color w:val="2B2B2B"/>
          <w:sz w:val="21"/>
        </w:rPr>
        <w:t xml:space="preserve">, (b) </w:t>
      </w:r>
      <w:r>
        <w:rPr>
          <w:rFonts w:ascii="Calibri" w:hAnsi="Calibri"/>
          <w:b/>
          <w:i/>
          <w:color w:val="2B2B2B"/>
          <w:sz w:val="21"/>
        </w:rPr>
        <w:t>descarga horaria</w:t>
      </w:r>
      <w:r>
        <w:rPr>
          <w:rFonts w:ascii="Calibri" w:hAnsi="Calibri"/>
          <w:b w:val="0"/>
          <w:i/>
          <w:color w:val="2B2B2B"/>
          <w:sz w:val="21"/>
        </w:rPr>
        <w:t xml:space="preserve"> aprobada por la DNI para la función de investigación, (c) </w:t>
      </w:r>
      <w:r>
        <w:rPr>
          <w:rFonts w:ascii="Calibri" w:hAnsi="Calibri"/>
          <w:b/>
          <w:i/>
          <w:color w:val="2B2B2B"/>
          <w:sz w:val="21"/>
        </w:rPr>
        <w:t>no tener pendientes</w:t>
      </w:r>
      <w:r>
        <w:rPr>
          <w:rFonts w:ascii="Calibri" w:hAnsi="Calibri"/>
          <w:b w:val="0"/>
          <w:i/>
          <w:color w:val="2B2B2B"/>
          <w:sz w:val="21"/>
        </w:rPr>
        <w:t xml:space="preserve"> de convocatorias anteriores (haber cumplido el plan de trabajo 2025 y sus entregables), y (d) </w:t>
      </w:r>
      <w:r>
        <w:rPr>
          <w:rFonts w:ascii="Calibri" w:hAnsi="Calibri"/>
          <w:b/>
          <w:i/>
          <w:color w:val="2B2B2B"/>
          <w:sz w:val="21"/>
        </w:rPr>
        <w:t>CvLAC actualizado</w:t>
      </w:r>
      <w:r>
        <w:rPr>
          <w:rFonts w:ascii="Calibri" w:hAnsi="Calibri"/>
          <w:b w:val="0"/>
          <w:i/>
          <w:color w:val="2B2B2B"/>
          <w:sz w:val="21"/>
        </w:rPr>
        <w:t>. Esta propuesta no puede radicarse hasta confirmar que Julian Andres Castaño cumple los cuatro puntos; si alguno no aplica (p. ej. vinculación por horas en lugar de tiempo completo), debe resolverse con la DNI antes del cierre (20 de marzo de 2026, 6:00 p.m.) o la propuesta queda inhabilitada independientemente de su calidad.</w:t>
      </w:r>
    </w:p>
    <w:p>
      <w:pPr>
        <w:spacing w:before="200" w:after="60"/>
      </w:pPr>
      <w:r>
        <w:rPr>
          <w:rFonts w:ascii="Calibri" w:hAnsi="Calibri"/>
          <w:b/>
          <w:color w:val="007433"/>
          <w:sz w:val="32"/>
        </w:rPr>
        <w:t>1. Título (provisional)</w:t>
      </w:r>
    </w:p>
    <w:p>
      <w:r>
        <w:rPr>
          <w:rFonts w:ascii="Calibri" w:hAnsi="Calibri"/>
          <w:b/>
          <w:color w:val="2B2B2B"/>
          <w:sz w:val="22"/>
        </w:rPr>
        <w:t>Diagnóstico y modelo de buenas prácticas en protección de datos personales y ciberseguridad para pymes del sector productivo local vinculadas a la CUN, con apoyo de IA para detección de anomalías</w:t>
      </w:r>
    </w:p>
    <w:p>
      <w:pPr>
        <w:spacing w:before="200" w:after="60"/>
      </w:pPr>
      <w:r>
        <w:rPr>
          <w:rFonts w:ascii="Calibri" w:hAnsi="Calibri"/>
          <w:b/>
          <w:color w:val="007433"/>
          <w:sz w:val="32"/>
        </w:rPr>
        <w:t>2. Tipo de Propuesta</w:t>
      </w:r>
    </w:p>
    <w:p>
      <w:r>
        <w:rPr>
          <w:rFonts w:ascii="Calibri" w:hAnsi="Calibri"/>
          <w:b/>
          <w:color w:val="2B2B2B"/>
          <w:sz w:val="22"/>
        </w:rPr>
        <w:t>Investigación</w:t>
      </w:r>
      <w:r>
        <w:rPr>
          <w:rFonts w:ascii="Calibri" w:hAnsi="Calibri"/>
          <w:b w:val="0"/>
          <w:color w:val="2B2B2B"/>
          <w:sz w:val="22"/>
        </w:rPr>
        <w:t xml:space="preserve">, con un componente fuerte de </w:t>
      </w:r>
      <w:r>
        <w:rPr>
          <w:rFonts w:ascii="Calibri" w:hAnsi="Calibri"/>
          <w:b/>
          <w:color w:val="2B2B2B"/>
          <w:sz w:val="22"/>
        </w:rPr>
        <w:t>Proyección Social</w:t>
      </w:r>
      <w:r>
        <w:rPr>
          <w:rFonts w:ascii="Calibri" w:hAnsi="Calibri"/>
          <w:b w:val="0"/>
          <w:color w:val="2B2B2B"/>
          <w:sz w:val="22"/>
        </w:rPr>
        <w:t xml:space="preserve"> (no es un checkbox aparte porque el formato solo permite marcar uno, pero la articulación con sector externo debe quedar explícita en "Elementos preliminares" — ver más abajo).</w:t>
      </w:r>
    </w:p>
    <w:p>
      <w:pPr>
        <w:spacing w:before="200" w:after="60"/>
      </w:pPr>
      <w:r>
        <w:rPr>
          <w:rFonts w:ascii="Calibri" w:hAnsi="Calibri"/>
          <w:b/>
          <w:color w:val="007433"/>
          <w:sz w:val="32"/>
        </w:rPr>
        <w:t>3. Grupo Temático + Eje Dinamizador</w:t>
      </w:r>
    </w:p>
    <w:p>
      <w:pPr>
        <w:pStyle w:val="ListBullet"/>
      </w:pPr>
      <w:r>
        <w:rPr>
          <w:rFonts w:ascii="Calibri" w:hAnsi="Calibri"/>
          <w:b/>
          <w:color w:val="2B2B2B"/>
          <w:sz w:val="22"/>
        </w:rPr>
        <w:t>Grupo Temático 3 · Línea de Responsabilidad Social</w:t>
      </w:r>
    </w:p>
    <w:p>
      <w:pPr>
        <w:pStyle w:val="ListBullet"/>
      </w:pPr>
      <w:r>
        <w:rPr>
          <w:rFonts w:ascii="Calibri" w:hAnsi="Calibri"/>
          <w:b/>
          <w:color w:val="2B2B2B"/>
          <w:sz w:val="22"/>
        </w:rPr>
        <w:t>Eje Dinamizador:</w:t>
      </w:r>
      <w:r>
        <w:rPr>
          <w:rFonts w:ascii="Calibri" w:hAnsi="Calibri"/>
          <w:b w:val="0"/>
          <w:color w:val="2B2B2B"/>
          <w:sz w:val="22"/>
        </w:rPr>
        <w:t xml:space="preserve"> *Industrias 5.0, Big Data, ciberseguridad y manejo de datos*</w:t>
      </w:r>
    </w:p>
    <w:p>
      <w:r>
        <w:rPr>
          <w:rFonts w:ascii="Calibri" w:hAnsi="Calibri"/>
          <w:b/>
          <w:color w:val="2B2B2B"/>
          <w:sz w:val="22"/>
        </w:rPr>
        <w:t>Por qué encaja:</w:t>
      </w:r>
      <w:r>
        <w:rPr>
          <w:rFonts w:ascii="Calibri" w:hAnsi="Calibri"/>
          <w:b w:val="0"/>
          <w:color w:val="2B2B2B"/>
          <w:sz w:val="22"/>
        </w:rPr>
        <w:t xml:space="preserve"> el eje pide explícitamente trabajar ciberseguridad y manejo de datos; la Línea de Responsabilidad Social además premia (numeral 3 y 11.1 de los Términos de Referencia) la articulación con sector externo y sociedad civil bajo la figura de *Proyección Social* — esta propuesta no se queda en el diagnóstico técnico, lo aterriza en pymes reales con las que la CUN ya tiene relacionamiento, que es justo el tipo de vinculación que la convocatoria puntúa en "Elementos preliminares".</w:t>
      </w:r>
    </w:p>
    <w:p>
      <w:pPr>
        <w:spacing w:before="200" w:after="60"/>
      </w:pPr>
      <w:r>
        <w:rPr>
          <w:rFonts w:ascii="Calibri" w:hAnsi="Calibri"/>
          <w:b/>
          <w:color w:val="007433"/>
          <w:sz w:val="32"/>
        </w:rPr>
        <w:t>4. Elementos preliminares (adelanto, se formaliza en Fase 2)</w:t>
      </w:r>
    </w:p>
    <w:p>
      <w:r>
        <w:rPr>
          <w:rFonts w:ascii="Calibri" w:hAnsi="Calibri"/>
          <w:b w:val="0"/>
          <w:color w:val="2B2B2B"/>
          <w:sz w:val="22"/>
        </w:rPr>
        <w:t xml:space="preserve">De los 8 ítems de la tabla "Elementos a considerar" del Anexo 2, esta propuesta puede marcar con </w:t>
      </w:r>
      <w:r>
        <w:rPr>
          <w:rFonts w:ascii="Calibri" w:hAnsi="Calibri"/>
          <w:b/>
          <w:color w:val="2B2B2B"/>
          <w:sz w:val="22"/>
        </w:rPr>
        <w:t>Sí</w:t>
      </w:r>
      <w:r>
        <w:rPr>
          <w:rFonts w:ascii="Calibri" w:hAnsi="Calibri"/>
          <w:b w:val="0"/>
          <w:color w:val="2B2B2B"/>
          <w:sz w:val="22"/>
        </w:rPr>
        <w:t>, siempre que se confirme la vinculación real con una pyme o gremio local antes de radicar:</w:t>
      </w:r>
    </w:p>
    <w:p>
      <w:pPr>
        <w:pStyle w:val="ListBullet"/>
      </w:pPr>
      <w:r>
        <w:rPr>
          <w:rFonts w:ascii="Calibri" w:hAnsi="Calibri"/>
          <w:b w:val="0"/>
          <w:color w:val="2B2B2B"/>
          <w:sz w:val="22"/>
        </w:rPr>
        <w:t xml:space="preserve">Articulación efectiva con actores del sector externo (empresas) — </w:t>
      </w:r>
      <w:r>
        <w:rPr>
          <w:rFonts w:ascii="Calibri" w:hAnsi="Calibri"/>
          <w:b/>
          <w:color w:val="2B2B2B"/>
          <w:sz w:val="22"/>
        </w:rPr>
        <w:t>Sí</w:t>
      </w:r>
      <w:r>
        <w:rPr>
          <w:rFonts w:ascii="Calibri" w:hAnsi="Calibri"/>
          <w:b w:val="0"/>
          <w:color w:val="2B2B2B"/>
          <w:sz w:val="22"/>
        </w:rPr>
        <w:t>, condicionado a tener al menos una pyme piloto confirmada.</w:t>
      </w:r>
    </w:p>
    <w:p>
      <w:pPr>
        <w:pStyle w:val="ListBullet"/>
      </w:pPr>
      <w:r>
        <w:rPr>
          <w:rFonts w:ascii="Calibri" w:hAnsi="Calibri"/>
          <w:b w:val="0"/>
          <w:color w:val="2B2B2B"/>
          <w:sz w:val="22"/>
        </w:rPr>
        <w:t>Articulación con comunidades de la sociedad civil — posible si el piloto es con una asociación de pequeños comerciantes.</w:t>
      </w:r>
    </w:p>
    <w:p>
      <w:pPr>
        <w:pStyle w:val="ListBullet"/>
      </w:pPr>
      <w:r>
        <w:rPr>
          <w:rFonts w:ascii="Calibri" w:hAnsi="Calibri"/>
          <w:b w:val="0"/>
          <w:color w:val="2B2B2B"/>
          <w:sz w:val="22"/>
        </w:rPr>
        <w:t>Semilleros, multi-programa, multi-sede, multi-modalidad, internacional, financiación externa — no se fuerzan si no aplican realmente; no conviene marcar "Sí" en algo que no se pueda sostener en la entrevista/evaluación.</w:t>
      </w:r>
    </w:p>
    <w:p>
      <w:pPr>
        <w:ind w:left="432"/>
        <w:shd w:val="clear" w:fill="E8F5EC"/>
      </w:pPr>
      <w:r>
        <w:rPr>
          <w:rFonts w:ascii="Calibri" w:hAnsi="Calibri"/>
          <w:b/>
          <w:i/>
          <w:color w:val="2B2B2B"/>
          <w:sz w:val="21"/>
        </w:rPr>
        <w:t>Nota sobre Anexo 3:</w:t>
      </w:r>
      <w:r>
        <w:rPr>
          <w:rFonts w:ascii="Calibri" w:hAnsi="Calibri"/>
          <w:b w:val="0"/>
          <w:i/>
          <w:color w:val="2B2B2B"/>
          <w:sz w:val="21"/>
        </w:rPr>
        <w:t xml:space="preserve"> si la propuesta finalmente vincula de forma activa a una pyme u organización externa como socia de investigación (no solo como "caso de estudio" pasivo), el numeral 5.1 (Parágrafo 2) exige comunicarse directamente con la DNI y </w:t>
      </w:r>
      <w:r>
        <w:rPr>
          <w:rFonts w:ascii="Calibri" w:hAnsi="Calibri"/>
          <w:b/>
          <w:i/>
          <w:color w:val="2B2B2B"/>
          <w:sz w:val="21"/>
        </w:rPr>
        <w:t>adjuntar el Anexo 3 (Carta de Aval e Intención)</w:t>
      </w:r>
      <w:r>
        <w:rPr>
          <w:rFonts w:ascii="Calibri" w:hAnsi="Calibri"/>
          <w:b w:val="0"/>
          <w:i/>
          <w:color w:val="2B2B2B"/>
          <w:sz w:val="21"/>
        </w:rPr>
        <w:t xml:space="preserve"> firmado por esa organización. No se diligencia en esta fase de ideación, pero se advierte desde ya porque cambia el trámite de radicación.</w:t>
      </w:r>
    </w:p>
    <w:p>
      <w:pPr>
        <w:spacing w:before="200" w:after="60"/>
      </w:pPr>
      <w:r>
        <w:rPr>
          <w:rFonts w:ascii="Calibri" w:hAnsi="Calibri"/>
          <w:b/>
          <w:color w:val="007433"/>
          <w:sz w:val="32"/>
        </w:rPr>
        <w:t>5. Resumen (máximo 200 palabras — versión casi final)</w:t>
      </w:r>
    </w:p>
    <w:p>
      <w:pPr>
        <w:ind w:left="432"/>
        <w:shd w:val="clear" w:fill="E8F5EC"/>
      </w:pPr>
      <w:r>
        <w:rPr>
          <w:rFonts w:ascii="Calibri" w:hAnsi="Calibri"/>
          <w:b w:val="0"/>
          <w:i/>
          <w:color w:val="2B2B2B"/>
          <w:sz w:val="21"/>
        </w:rPr>
        <w:t>Esta propuesta busca diseñar y validar, mediante un diagnóstico aplicado, un modelo de buenas prácticas de protección de datos personales y ciberseguridad para pymes del sector productivo local que mantienen relacionamiento con la CUN, en el marco del eje Industrias 5.0, Big Data, ciberseguridad y manejo de datos del Grupo Temático 3, Línea de Responsabilidad Social. Se parte de un instrumento de autoevaluación de madurez en protección de datos, aplicado a un grupo reducido de pymes aliadas, cuyos resultados alimentan un modelo de buenas prácticas, en forma de checklist y protocolo, ajustado a sus capacidades reales. Como componente tecnológico se construye y valida un prototipo de detección de anomalías en registros de acceso y tratamiento de datos, apoyado en un modelo no supervisado de aprendizaje automático y en asistencia de IA generativa para la síntesis normativa y la redacción del protocolo. El enfoque combina lo cualitativo, en el diagnóstico, con lo cuantitativo, en la validación del prototipo. Se espera fortalecer la proyección social de la CUN mediante la articulación con el sector externo y entregar, en tres meses, un documento de trabajo divulgable y una cartilla de apropiación social para las pymes participantes.</w:t>
      </w:r>
    </w:p>
    <w:p>
      <w:r>
        <w:rPr>
          <w:rFonts w:ascii="Calibri" w:hAnsi="Calibri"/>
          <w:b w:val="0"/>
          <w:color w:val="2B2B2B"/>
          <w:sz w:val="22"/>
        </w:rPr>
        <w:t>*(Conteo real: 193 palabras.)*</w:t>
      </w:r>
    </w:p>
    <w:p>
      <w:pPr>
        <w:spacing w:before="200" w:after="60"/>
      </w:pPr>
      <w:r>
        <w:rPr>
          <w:rFonts w:ascii="Calibri" w:hAnsi="Calibri"/>
          <w:b/>
          <w:color w:val="007433"/>
          <w:sz w:val="32"/>
        </w:rPr>
        <w:t>6. Objetivo general</w:t>
      </w:r>
    </w:p>
    <w:p>
      <w:r>
        <w:rPr>
          <w:rFonts w:ascii="Calibri" w:hAnsi="Calibri"/>
          <w:b w:val="0"/>
          <w:color w:val="2B2B2B"/>
          <w:sz w:val="22"/>
        </w:rPr>
        <w:t>Diseñar y validar un modelo de buenas prácticas de protección de datos personales y ciberseguridad para pymes del sector productivo local vinculadas a la CUN, a partir de un diagnóstico aplicado de su nivel de madurez y de un prototipo de detección de anomalías apoyado en inteligencia artificial.</w:t>
      </w:r>
    </w:p>
    <w:p>
      <w:pPr>
        <w:spacing w:before="200" w:after="60"/>
      </w:pPr>
      <w:r>
        <w:rPr>
          <w:rFonts w:ascii="Calibri" w:hAnsi="Calibri"/>
          <w:b/>
          <w:color w:val="007433"/>
          <w:sz w:val="32"/>
        </w:rPr>
        <w:t>7. Objetivos específicos</w:t>
      </w:r>
    </w:p>
    <w:p>
      <w:pPr>
        <w:pStyle w:val="ListNumber"/>
      </w:pPr>
      <w:r>
        <w:rPr>
          <w:rFonts w:ascii="Calibri" w:hAnsi="Calibri"/>
          <w:b/>
          <w:color w:val="2B2B2B"/>
          <w:sz w:val="22"/>
        </w:rPr>
        <w:t>Diagnosticar</w:t>
      </w:r>
      <w:r>
        <w:rPr>
          <w:rFonts w:ascii="Calibri" w:hAnsi="Calibri"/>
          <w:b w:val="0"/>
          <w:color w:val="2B2B2B"/>
          <w:sz w:val="22"/>
        </w:rPr>
        <w:t>, durante el primer mes de ejecución, el nivel de madurez en protección de datos personales y ciberseguridad de un grupo de al menos tres (3) pymes aliadas de la CUN, mediante un instrumento de autoevaluación basado en la Ley 1581 de 2012 y en controles del ISO/IEC 27001:2022.</w:t>
      </w:r>
    </w:p>
    <w:p>
      <w:pPr>
        <w:pStyle w:val="ListNumber"/>
      </w:pPr>
      <w:r>
        <w:rPr>
          <w:rFonts w:ascii="Calibri" w:hAnsi="Calibri"/>
          <w:b/>
          <w:color w:val="2B2B2B"/>
          <w:sz w:val="22"/>
        </w:rPr>
        <w:t>Diseñar</w:t>
      </w:r>
      <w:r>
        <w:rPr>
          <w:rFonts w:ascii="Calibri" w:hAnsi="Calibri"/>
          <w:b w:val="0"/>
          <w:color w:val="2B2B2B"/>
          <w:sz w:val="22"/>
        </w:rPr>
        <w:t>, durante el segundo mes, un modelo de buenas prácticas (checklist + protocolo operativo) de protección de datos y ciberseguridad ajustado a las capacidades reales de las pymes diagnosticadas, y validarlo con retroalimentación directa de al menos un representante por pyme participante.</w:t>
      </w:r>
    </w:p>
    <w:p>
      <w:pPr>
        <w:pStyle w:val="ListNumber"/>
      </w:pPr>
      <w:r>
        <w:rPr>
          <w:rFonts w:ascii="Calibri" w:hAnsi="Calibri"/>
          <w:b/>
          <w:color w:val="2B2B2B"/>
          <w:sz w:val="22"/>
        </w:rPr>
        <w:t>Construir y validar</w:t>
      </w:r>
      <w:r>
        <w:rPr>
          <w:rFonts w:ascii="Calibri" w:hAnsi="Calibri"/>
          <w:b w:val="0"/>
          <w:color w:val="2B2B2B"/>
          <w:sz w:val="22"/>
        </w:rPr>
        <w:t>, durante el tercer mes, un prototipo de detección de anomalías sobre registros de acceso y tratamiento de datos (simulados o anonimizados) de una pyme piloto, usando un modelo no supervisado de aprendizaje automático, y documentar sus resultados como insumo de mejora continua del modelo de buenas prácticas.</w:t>
      </w:r>
    </w:p>
    <w:p>
      <w:r>
        <w:rPr>
          <w:rFonts w:ascii="Calibri" w:hAnsi="Calibri"/>
          <w:b w:val="0"/>
          <w:color w:val="2B2B2B"/>
          <w:sz w:val="22"/>
        </w:rPr>
        <w:t>*(Los tres objetivos cubren, en conjunto, el objetivo general: diagnóstico → modelo → validación tecnológica.)*</w:t>
      </w:r>
    </w:p>
    <w:p>
      <w:pPr>
        <w:spacing w:before="200" w:after="60"/>
      </w:pPr>
      <w:r>
        <w:rPr>
          <w:rFonts w:ascii="Calibri" w:hAnsi="Calibri"/>
          <w:b/>
          <w:color w:val="007433"/>
          <w:sz w:val="32"/>
        </w:rPr>
        <w:t>8. Impacto, viabilidad y retorno (versión breve)</w:t>
      </w:r>
    </w:p>
    <w:p>
      <w:r>
        <w:rPr>
          <w:rFonts w:ascii="Calibri" w:hAnsi="Calibri"/>
          <w:b/>
          <w:color w:val="2B2B2B"/>
          <w:sz w:val="22"/>
        </w:rPr>
        <w:t>Impacto:</w:t>
      </w:r>
      <w:r>
        <w:rPr>
          <w:rFonts w:ascii="Calibri" w:hAnsi="Calibri"/>
          <w:b w:val="0"/>
          <w:color w:val="2B2B2B"/>
          <w:sz w:val="22"/>
        </w:rPr>
        <w:t xml:space="preserve"> las pymes participantes reciben un diagnóstico gratuito y un protocolo aplicable de inmediato con su propia infraestructura, sin depender de una auditoría de seguridad comercial que la mayoría no puede costear; la CUN fortalece su relacionamiento con el sector externo y obtiene evidencia real de responsabilidad social aplicada, medible en el número de pymes que adoptan al menos una recomendación del checklist en los tres meses siguientes a la entrega.</w:t>
      </w:r>
    </w:p>
    <w:p>
      <w:r>
        <w:rPr>
          <w:rFonts w:ascii="Calibri" w:hAnsi="Calibri"/>
          <w:b/>
          <w:color w:val="2B2B2B"/>
          <w:sz w:val="22"/>
        </w:rPr>
        <w:t>Viabilidad:</w:t>
      </w:r>
      <w:r>
        <w:rPr>
          <w:rFonts w:ascii="Calibri" w:hAnsi="Calibri"/>
          <w:b w:val="0"/>
          <w:color w:val="2B2B2B"/>
          <w:sz w:val="22"/>
        </w:rPr>
        <w:t xml:space="preserve"> el diagnóstico usa un instrumento de autoevaluación (encuesta + entrevista corta), no requiere hardware ni licencias de seguridad comerciales; el prototipo de detección de anomalías se desarrolla en Python con librerías de código abierto (scikit-learn) sobre datos simulados o previamente anonimizados por la propia pyme, lo que evita fricciones de confidencialidad y mantiene el costo dentro del techo de $5.000.000 de la convocatoria (equipo, transporte a las pymes y eventual apoyo de un estudiante auxiliar).</w:t>
      </w:r>
    </w:p>
    <w:p>
      <w:r>
        <w:rPr>
          <w:rFonts w:ascii="Calibri" w:hAnsi="Calibri"/>
          <w:b/>
          <w:color w:val="2B2B2B"/>
          <w:sz w:val="22"/>
        </w:rPr>
        <w:t>Retorno institucional:</w:t>
      </w:r>
      <w:r>
        <w:rPr>
          <w:rFonts w:ascii="Calibri" w:hAnsi="Calibri"/>
          <w:b w:val="0"/>
          <w:color w:val="2B2B2B"/>
          <w:sz w:val="22"/>
        </w:rPr>
        <w:t xml:space="preserve"> un documento de trabajo y una cartilla reutilizables por otros programas de la Escuela de Ingenierías para réplicas futuras con más pymes, y un antecedente concreto de vinculación con sector externo para convocatorias posteriores (incluida Minciencias).</w:t>
      </w:r>
    </w:p>
    <w:p>
      <w:r>
        <w:rPr>
          <w:rFonts w:ascii="Calibri" w:hAnsi="Calibri"/>
          <w:b/>
          <w:color w:val="2B2B2B"/>
          <w:sz w:val="22"/>
        </w:rPr>
        <w:t>Herramienta de IA prevista y uso concreto:</w:t>
      </w:r>
      <w:r>
        <w:rPr>
          <w:rFonts w:ascii="Calibri" w:hAnsi="Calibri"/>
          <w:b w:val="0"/>
          <w:color w:val="2B2B2B"/>
          <w:sz w:val="22"/>
        </w:rPr>
        <w:t xml:space="preserve"> (1) un modelo no supervisado de aprendizaje automático — Isolation Forest o un autoencoder simple, implementado en Python/scikit-learn — para señalar patrones atípicos de acceso o tratamiento de datos que un checklist manual no detectaría; (2) asistencia de IA generativa (Claude o ChatGPT) para sintetizar y comparar el marco normativo vigente (Ley 1581 de 2012, Circular Externa 002 de 2023 de la SIC, ISO/IEC 27001:2022) y para apoyar la redacción del protocolo de buenas prácticas, siempre con revisión y validación humana del investigador antes de entregarlo a las pymes.</w:t>
      </w:r>
    </w:p>
    <w:p>
      <w:pPr>
        <w:spacing w:before="200" w:after="60"/>
      </w:pPr>
      <w:r>
        <w:rPr>
          <w:rFonts w:ascii="Calibri" w:hAnsi="Calibri"/>
          <w:b/>
          <w:color w:val="007433"/>
          <w:sz w:val="32"/>
        </w:rPr>
        <w:t>9. Productos esperados (por tipología Minciencias — no se fuerzan las 4)</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Tipología Minciencias</w:t>
            </w:r>
          </w:p>
        </w:tc>
        <w:tc>
          <w:tcPr>
            <w:tcW w:type="dxa" w:w="4896"/>
            <w:shd w:val="clear" w:fill="0C2340"/>
            <w:shd w:val="clear" w:fill="0C2340"/>
          </w:tcPr>
          <w:p>
            <w:r>
              <w:rPr>
                <w:rFonts w:ascii="Calibri" w:hAnsi="Calibri"/>
                <w:b/>
                <w:color w:val="FFFFFF"/>
              </w:rPr>
            </w:r>
            <w:r>
              <w:rPr>
                <w:rFonts w:ascii="Calibri" w:hAnsi="Calibri"/>
                <w:b/>
                <w:color w:val="FFFFFF"/>
                <w:sz w:val="21"/>
              </w:rPr>
              <w:t>Producto propuesto</w:t>
            </w:r>
          </w:p>
        </w:tc>
      </w:tr>
      <w:tr>
        <w:tc>
          <w:tcPr>
            <w:tcW w:type="dxa" w:w="4896"/>
          </w:tcPr>
          <w:p>
            <w:r/>
            <w:r>
              <w:rPr>
                <w:rFonts w:ascii="Calibri" w:hAnsi="Calibri"/>
                <w:b w:val="0"/>
                <w:color w:val="2B2B2B"/>
                <w:sz w:val="20"/>
              </w:rPr>
              <w:t>I. Generación de nuevo conocimiento</w:t>
            </w:r>
          </w:p>
        </w:tc>
        <w:tc>
          <w:tcPr>
            <w:tcW w:type="dxa" w:w="4896"/>
          </w:tcPr>
          <w:p>
            <w:r/>
            <w:r>
              <w:rPr>
                <w:rFonts w:ascii="Calibri" w:hAnsi="Calibri"/>
                <w:b w:val="0"/>
                <w:color w:val="2B2B2B"/>
                <w:sz w:val="20"/>
              </w:rPr>
              <w:t>Documento de trabajo / artículo corto con el diagnóstico de madurez y el modelo de buenas prácticas resultante.</w:t>
            </w:r>
          </w:p>
        </w:tc>
      </w:tr>
      <w:tr>
        <w:tc>
          <w:tcPr>
            <w:tcW w:type="dxa" w:w="4896"/>
            <w:shd w:val="clear" w:fill="F5F7F5"/>
            <w:shd w:val="clear" w:fill="F5F7F5"/>
          </w:tcPr>
          <w:p>
            <w:r/>
            <w:r>
              <w:rPr>
                <w:rFonts w:ascii="Calibri" w:hAnsi="Calibri"/>
                <w:b w:val="0"/>
                <w:color w:val="2B2B2B"/>
                <w:sz w:val="20"/>
              </w:rPr>
              <w:t>III. Apropiación social del conocimiento</w:t>
            </w:r>
          </w:p>
        </w:tc>
        <w:tc>
          <w:tcPr>
            <w:tcW w:type="dxa" w:w="4896"/>
            <w:shd w:val="clear" w:fill="F5F7F5"/>
            <w:shd w:val="clear" w:fill="F5F7F5"/>
          </w:tcPr>
          <w:p>
            <w:r/>
            <w:r>
              <w:rPr>
                <w:rFonts w:ascii="Calibri" w:hAnsi="Calibri"/>
                <w:b w:val="0"/>
                <w:color w:val="2B2B2B"/>
                <w:sz w:val="20"/>
              </w:rPr>
              <w:t>Cartilla o guía práctica de protección de datos y ciberseguridad para pymes, en lenguaje no técnico, entregada a las pymes participantes.</w:t>
            </w:r>
          </w:p>
        </w:tc>
      </w:tr>
      <w:tr>
        <w:tc>
          <w:tcPr>
            <w:tcW w:type="dxa" w:w="4896"/>
          </w:tcPr>
          <w:p>
            <w:r/>
            <w:r>
              <w:rPr>
                <w:rFonts w:ascii="Calibri" w:hAnsi="Calibri"/>
                <w:b w:val="0"/>
                <w:color w:val="2B2B2B"/>
                <w:sz w:val="20"/>
              </w:rPr>
              <w:t>IV. Desarrollo tecnológico e innovación</w:t>
            </w:r>
          </w:p>
        </w:tc>
        <w:tc>
          <w:tcPr>
            <w:tcW w:type="dxa" w:w="4896"/>
          </w:tcPr>
          <w:p>
            <w:r/>
            <w:r>
              <w:rPr>
                <w:rFonts w:ascii="Calibri" w:hAnsi="Calibri"/>
                <w:b w:val="0"/>
                <w:color w:val="2B2B2B"/>
                <w:sz w:val="20"/>
              </w:rPr>
              <w:t>Prototipo funcional (notebook/script) de detección de anomalías en registros de acceso/tratamiento de datos.</w:t>
            </w:r>
          </w:p>
        </w:tc>
      </w:tr>
    </w:tbl>
    <w:p/>
    <w:p>
      <w:r>
        <w:rPr>
          <w:rFonts w:ascii="Calibri" w:hAnsi="Calibri"/>
          <w:b w:val="0"/>
          <w:color w:val="2B2B2B"/>
          <w:sz w:val="22"/>
        </w:rPr>
        <w:t>*(Se deja fuera, deliberadamente, la tipología II —Formación de RRHH en CTeI— porque el alcance de 3 meses no da para incorporar y hacer seguimiento formal a un semillero; si se quiere sumar ese ítem en "Elementos preliminares", debe ser una decisión explícita en Fase 2, no un relleno automático.)*</w:t>
      </w:r>
    </w:p>
    <w:p>
      <w:pPr>
        <w:spacing w:before="200" w:after="60"/>
      </w:pPr>
      <w:r>
        <w:rPr>
          <w:rFonts w:ascii="Calibri" w:hAnsi="Calibri"/>
          <w:b/>
          <w:color w:val="007433"/>
          <w:sz w:val="32"/>
        </w:rPr>
        <w:t>10. Referentes reales (ancla del marco teórico, no la lista completa)</w:t>
      </w:r>
    </w:p>
    <w:p>
      <w:pPr>
        <w:pStyle w:val="ListNumber"/>
      </w:pPr>
      <w:r>
        <w:rPr>
          <w:rFonts w:ascii="Calibri" w:hAnsi="Calibri"/>
          <w:b/>
          <w:color w:val="2B2B2B"/>
          <w:sz w:val="22"/>
        </w:rPr>
        <w:t>Colombia, Congreso de la República.</w:t>
      </w:r>
      <w:r>
        <w:rPr>
          <w:rFonts w:ascii="Calibri" w:hAnsi="Calibri"/>
          <w:b w:val="0"/>
          <w:color w:val="2B2B2B"/>
          <w:sz w:val="22"/>
        </w:rPr>
        <w:t xml:space="preserve"> *Ley 1581 de 2012 — Ley Estatutaria de Protección de Datos Personales (Habeas Data).* Marco normativo nacional que todo diagnóstico de protección de datos en pymes colombianas debe usar como línea base.</w:t>
      </w:r>
    </w:p>
    <w:p>
      <w:pPr>
        <w:pStyle w:val="ListNumber"/>
      </w:pPr>
      <w:r>
        <w:rPr>
          <w:rFonts w:ascii="Calibri" w:hAnsi="Calibri"/>
          <w:b/>
          <w:color w:val="2B2B2B"/>
          <w:sz w:val="22"/>
        </w:rPr>
        <w:t>Superintendencia de Industria y Comercio (SIC).</w:t>
      </w:r>
      <w:r>
        <w:rPr>
          <w:rFonts w:ascii="Calibri" w:hAnsi="Calibri"/>
          <w:b w:val="0"/>
          <w:color w:val="2B2B2B"/>
          <w:sz w:val="22"/>
        </w:rPr>
        <w:t xml:space="preserve"> *Circular Externa 002 de 2023*, con lineamientos actualizados de protección de datos personales aplicables a responsables y encargados del tratamiento, incluidas pymes.</w:t>
      </w:r>
    </w:p>
    <w:p>
      <w:pPr>
        <w:pStyle w:val="ListNumber"/>
      </w:pPr>
      <w:r>
        <w:rPr>
          <w:rFonts w:ascii="Calibri" w:hAnsi="Calibri"/>
          <w:b/>
          <w:color w:val="2B2B2B"/>
          <w:sz w:val="22"/>
        </w:rPr>
        <w:t>ISO/IEC 27001:2022.</w:t>
      </w:r>
      <w:r>
        <w:rPr>
          <w:rFonts w:ascii="Calibri" w:hAnsi="Calibri"/>
          <w:b w:val="0"/>
          <w:color w:val="2B2B2B"/>
          <w:sz w:val="22"/>
        </w:rPr>
        <w:t xml:space="preserve"> *Information security, cybersecurity and privacy protection — Information security management systems — Requirements.* Estándar internacional de referencia para estructurar el checklist de buenas prácticas.</w:t>
      </w:r>
    </w:p>
    <w:p>
      <w:pPr>
        <w:pStyle w:val="ListNumber"/>
      </w:pPr>
      <w:r>
        <w:rPr>
          <w:rFonts w:ascii="Calibri" w:hAnsi="Calibri"/>
          <w:b/>
          <w:color w:val="2B2B2B"/>
          <w:sz w:val="22"/>
        </w:rPr>
        <w:t>National Institute of Standards and Technology (NIST).</w:t>
      </w:r>
      <w:r>
        <w:rPr>
          <w:rFonts w:ascii="Calibri" w:hAnsi="Calibri"/>
          <w:b w:val="0"/>
          <w:color w:val="2B2B2B"/>
          <w:sz w:val="22"/>
        </w:rPr>
        <w:t xml:space="preserve"> *Framework for Improving Critical Infrastructure Cybersecurity*, versión 1.1 (2018). Marco de gestión de riesgo de ciberseguridad ampliamente usado como referencia para adaptar controles a organizaciones con recursos limitados.</w:t>
      </w:r>
    </w:p>
    <w:p>
      <w:pPr>
        <w:pStyle w:val="ListNumber"/>
      </w:pPr>
      <w:r>
        <w:rPr>
          <w:rFonts w:ascii="Calibri" w:hAnsi="Calibri"/>
          <w:b/>
          <w:color w:val="2B2B2B"/>
          <w:sz w:val="22"/>
        </w:rPr>
        <w:t>European Union Agency for Cybersecurity (ENISA).</w:t>
      </w:r>
      <w:r>
        <w:rPr>
          <w:rFonts w:ascii="Calibri" w:hAnsi="Calibri"/>
          <w:b w:val="0"/>
          <w:color w:val="2B2B2B"/>
          <w:sz w:val="22"/>
        </w:rPr>
        <w:t xml:space="preserve"> *Cybersecurity for SMEs — Challenges and Recommendations* (2021). Evidencia y recomendaciones específicas sobre las brechas de ciberseguridad propias de pequeñas y medianas empresas, punto de partida directo para justificar el problema.</w:t>
      </w:r>
    </w:p>
    <w:p>
      <w:pPr>
        <w:pStyle w:val="ListNumber"/>
      </w:pPr>
      <w:r>
        <w:rPr>
          <w:rFonts w:ascii="Calibri" w:hAnsi="Calibri"/>
          <w:b/>
          <w:color w:val="2B2B2B"/>
          <w:sz w:val="22"/>
        </w:rPr>
        <w:t>Chandola, V., Banerjee, A., &amp; Kumar, V. (2009).</w:t>
      </w:r>
      <w:r>
        <w:rPr>
          <w:rFonts w:ascii="Calibri" w:hAnsi="Calibri"/>
          <w:b w:val="0"/>
          <w:color w:val="2B2B2B"/>
          <w:sz w:val="22"/>
        </w:rPr>
        <w:t xml:space="preserve"> "Anomaly detection: A survey." *ACM Computing Surveys*, 41(3), 1–58. Referencia clásica y verificable sobre técnicas de detección de anomalías, base metodológica del componente de IA del objetivo 3.</w:t>
      </w:r>
    </w:p>
    <w:p>
      <w:pPr>
        <w:spacing w:before="200" w:after="60"/>
      </w:pPr>
      <w:r>
        <w:rPr>
          <w:rFonts w:ascii="Calibri" w:hAnsi="Calibri"/>
          <w:b/>
          <w:color w:val="007433"/>
          <w:sz w:val="32"/>
        </w:rPr>
        <w:t>11. Frase de viabilidad (alcance/tiempo/presupuesto)</w:t>
      </w:r>
    </w:p>
    <w:p>
      <w:r>
        <w:rPr>
          <w:rFonts w:ascii="Calibri" w:hAnsi="Calibri"/>
          <w:b w:val="0"/>
          <w:color w:val="2B2B2B"/>
          <w:sz w:val="22"/>
        </w:rPr>
        <w:t xml:space="preserve">Es realista en los tres meses y los $5.000.000 de la convocatoria </w:t>
      </w:r>
      <w:r>
        <w:rPr>
          <w:rFonts w:ascii="Calibri" w:hAnsi="Calibri"/>
          <w:b/>
          <w:color w:val="2B2B2B"/>
          <w:sz w:val="22"/>
        </w:rPr>
        <w:t>si se limita a 3–5 pymes piloto y a un prototipo de detección de anomalías sobre datos simulados o anonimizados</w:t>
      </w:r>
      <w:r>
        <w:rPr>
          <w:rFonts w:ascii="Calibri" w:hAnsi="Calibri"/>
          <w:b w:val="0"/>
          <w:color w:val="2B2B2B"/>
          <w:sz w:val="22"/>
        </w:rPr>
        <w:t xml:space="preserve"> (no una auditoría de ciberseguridad certificada ni un despliegue en producción dentro de la infraestructura real de las pymes, que sí requeriría un proyecto de al menos un año y presupuesto de otro orden); recortada así, el diagnóstico + modelo + prototipo es un entregable de alcance de "producto en menor tiempo" que la propia convocatoria prioriza en su financiación (numeral 7 de los Términos de Referencia).</w:t>
      </w:r>
    </w:p>
    <w:p>
      <w:pPr>
        <w:spacing w:before="200" w:after="60"/>
      </w:pPr>
      <w:r>
        <w:rPr>
          <w:rFonts w:ascii="Calibri" w:hAnsi="Calibri"/>
          <w:b/>
          <w:color w:val="007433"/>
          <w:sz w:val="32"/>
        </w:rPr>
        <w:t>12. Distinción respecto a otras propuestas paralelas</w:t>
      </w:r>
    </w:p>
    <w:p>
      <w:r>
        <w:rPr>
          <w:rFonts w:ascii="Calibri" w:hAnsi="Calibri"/>
          <w:b w:val="0"/>
          <w:color w:val="2B2B2B"/>
          <w:sz w:val="22"/>
        </w:rPr>
        <w:t>Esta propuesta se diferencia deliberadamente de:</w:t>
      </w:r>
    </w:p>
    <w:p>
      <w:pPr>
        <w:pStyle w:val="ListBullet"/>
      </w:pPr>
      <w:r>
        <w:rPr>
          <w:rFonts w:ascii="Calibri" w:hAnsi="Calibri"/>
          <w:b w:val="0"/>
          <w:color w:val="2B2B2B"/>
          <w:sz w:val="22"/>
        </w:rPr>
        <w:t xml:space="preserve">Una propuesta centrada en </w:t>
      </w:r>
      <w:r>
        <w:rPr>
          <w:rFonts w:ascii="Calibri" w:hAnsi="Calibri"/>
          <w:b/>
          <w:color w:val="2B2B2B"/>
          <w:sz w:val="22"/>
        </w:rPr>
        <w:t>IA generativa institucional</w:t>
      </w:r>
      <w:r>
        <w:rPr>
          <w:rFonts w:ascii="Calibri" w:hAnsi="Calibri"/>
          <w:b w:val="0"/>
          <w:color w:val="2B2B2B"/>
          <w:sz w:val="22"/>
        </w:rPr>
        <w:t xml:space="preserve"> (uso de LLMs para procesos académicos/administrativos internos de la CUN): aquí la IA es una herramienta de apoyo (detección de anomalías + síntesis normativa), no el objeto de estudio.</w:t>
      </w:r>
    </w:p>
    <w:p>
      <w:pPr>
        <w:pStyle w:val="ListBullet"/>
      </w:pPr>
      <w:r>
        <w:rPr>
          <w:rFonts w:ascii="Calibri" w:hAnsi="Calibri"/>
          <w:b w:val="0"/>
          <w:color w:val="2B2B2B"/>
          <w:sz w:val="22"/>
        </w:rPr>
        <w:t xml:space="preserve">Una propuesta centrada en </w:t>
      </w:r>
      <w:r>
        <w:rPr>
          <w:rFonts w:ascii="Calibri" w:hAnsi="Calibri"/>
          <w:b/>
          <w:color w:val="2B2B2B"/>
          <w:sz w:val="22"/>
        </w:rPr>
        <w:t>IoT</w:t>
      </w:r>
      <w:r>
        <w:rPr>
          <w:rFonts w:ascii="Calibri" w:hAnsi="Calibri"/>
          <w:b w:val="0"/>
          <w:color w:val="2B2B2B"/>
          <w:sz w:val="22"/>
        </w:rPr>
        <w:t>: aquí no hay sensores ni dispositivos físicos; el objeto es el dato ya existente (registros de acceso/tratamiento) y su protección, no su captura.</w:t>
      </w:r>
    </w:p>
    <w:p>
      <w:r>
        <w:rPr>
          <w:rFonts w:ascii="Calibri" w:hAnsi="Calibri"/>
          <w:b w:val="0"/>
          <w:color w:val="2B2B2B"/>
          <w:sz w:val="22"/>
        </w:rPr>
        <w:t xml:space="preserve">El foco exclusivo de esta Propuesta 4 es </w:t>
      </w:r>
      <w:r>
        <w:rPr>
          <w:rFonts w:ascii="Calibri" w:hAnsi="Calibri"/>
          <w:b/>
          <w:color w:val="2B2B2B"/>
          <w:sz w:val="22"/>
        </w:rPr>
        <w:t>datos personales, ciberseguridad y responsabilidad social/proyección al sector externo</w:t>
      </w:r>
      <w:r>
        <w:rPr>
          <w:rFonts w:ascii="Calibri" w:hAnsi="Calibri"/>
          <w:b w:val="0"/>
          <w:color w:val="2B2B2B"/>
          <w:sz w:val="22"/>
        </w:rPr>
        <w:t>.</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