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2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· Cuestionario · 9% de la nota (corte 2)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(https://cdigital.cun.edu.co/course/view.php?id=115463)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conductor: Propuesta de Innovación (desde la semana 1),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02 de septiembre de 2026</w:t>
      </w:r>
      <w:r>
        <w:rPr>
          <w:rFonts w:ascii="Calibri" w:hAnsi="Calibri"/>
          <w:b w:val="0"/>
          <w:color w:val="2B2B2B"/>
          <w:sz w:val="22"/>
        </w:rPr>
        <w:t xml:space="preserve"> (mié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27/08/2026 – cierre 02/09/2026 · </w:t>
      </w:r>
      <w:r>
        <w:rPr>
          <w:rFonts w:ascii="Calibri" w:hAnsi="Calibri"/>
          <w:b/>
          <w:color w:val="2B2B2B"/>
          <w:sz w:val="22"/>
        </w:rPr>
        <w:t>9%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2 = 9%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2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21%.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(02/09/2026)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(19/08/2026) — Creatividad/innovación en I+D · Design Thinking y técnicas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(26/08/2026) — Gestión de la innovación (Manual de Oslo / OCDE)</w:t>
      </w:r>
    </w:p>
    <w:p>
      <w:r>
        <w:rPr>
          <w:rFonts w:ascii="Calibri" w:hAnsi="Calibri"/>
          <w:b/>
          <w:color w:val="2B2B2B"/>
          <w:sz w:val="22"/>
        </w:rPr>
        <w:t>Nuevo desde el cierre de Parcial 1</w:t>
      </w:r>
      <w:r>
        <w:rPr>
          <w:rFonts w:ascii="Calibri" w:hAnsi="Calibri"/>
          <w:b w:val="0"/>
          <w:color w:val="2B2B2B"/>
          <w:sz w:val="22"/>
        </w:rPr>
        <w:t xml:space="preserve"> (26/08/2026): Sesión 03.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(02/09/2026 — Tipos de innovación)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(Propuesta de Innovación · creatividad e inteligencia emocional) → lectura autónoma; se retoma al abrir la Sesión 02.</w:t>
      </w:r>
    </w:p>
    <w:p>
      <w:r>
        <w:rPr>
          <w:rFonts w:ascii="Calibri" w:hAnsi="Calibri"/>
          <w:b/>
          <w:color w:val="2B2B2B"/>
          <w:sz w:val="22"/>
        </w:rPr>
        <w:t>Material de estudio publicado aparte del deck: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Material de estudio U2 — Bloqueadores y ensanchadores de la creatividad</w:t>
      </w:r>
      <w:r>
        <w:rPr>
          <w:rFonts w:ascii="Calibri" w:hAnsi="Calibri"/>
          <w:b w:val="0"/>
          <w:color w:val="2B2B2B"/>
          <w:sz w:val="22"/>
        </w:rPr>
        <w:t>: sí entra — bloqueadores perceptivos, emocionales y culturales · ensanchadores · la inteligencia emocional como insumo de la creatividad · autodiagnóstico. Está en la carpeta de la Sesión 01 del Drive de clases y como recurso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Propuesta de Innovación · creatividad e inteligencia emocional): ten claro qué es la Propuesta de Innovación —el producto conductor del curso— y qué papel juega la inteligencia emocional en el trabajo creativo.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Creatividad/innovación en I+D · Design Thinking y técnicas:</w:t>
      </w:r>
      <w:r>
        <w:rPr>
          <w:rFonts w:ascii="Calibri" w:hAnsi="Calibri"/>
          <w:b w:val="0"/>
          <w:color w:val="2B2B2B"/>
          <w:sz w:val="22"/>
        </w:rPr>
        <w:t xml:space="preserve"> Distingue </w:t>
      </w:r>
      <w:r>
        <w:rPr>
          <w:rFonts w:ascii="Calibri" w:hAnsi="Calibri"/>
          <w:b/>
          <w:color w:val="2B2B2B"/>
          <w:sz w:val="22"/>
        </w:rPr>
        <w:t>creatividad</w:t>
      </w:r>
      <w:r>
        <w:rPr>
          <w:rFonts w:ascii="Calibri" w:hAnsi="Calibri"/>
          <w:b w:val="0"/>
          <w:color w:val="2B2B2B"/>
          <w:sz w:val="22"/>
        </w:rPr>
        <w:t xml:space="preserve"> de </w:t>
      </w:r>
      <w:r>
        <w:rPr>
          <w:rFonts w:ascii="Calibri" w:hAnsi="Calibri"/>
          <w:b/>
          <w:color w:val="2B2B2B"/>
          <w:sz w:val="22"/>
        </w:rPr>
        <w:t>innovación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pensamiento divergente</w:t>
      </w:r>
      <w:r>
        <w:rPr>
          <w:rFonts w:ascii="Calibri" w:hAnsi="Calibri"/>
          <w:b w:val="0"/>
          <w:color w:val="2B2B2B"/>
          <w:sz w:val="22"/>
        </w:rPr>
        <w:t xml:space="preserve"> de </w:t>
      </w:r>
      <w:r>
        <w:rPr>
          <w:rFonts w:ascii="Calibri" w:hAnsi="Calibri"/>
          <w:b/>
          <w:color w:val="2B2B2B"/>
          <w:sz w:val="22"/>
        </w:rPr>
        <w:t>convergente</w:t>
      </w:r>
      <w:r>
        <w:rPr>
          <w:rFonts w:ascii="Calibri" w:hAnsi="Calibri"/>
          <w:b w:val="0"/>
          <w:color w:val="2B2B2B"/>
          <w:sz w:val="22"/>
        </w:rPr>
        <w:t xml:space="preserve">; ten claro para qué sirve cada fase del </w:t>
      </w:r>
      <w:r>
        <w:rPr>
          <w:rFonts w:ascii="Calibri" w:hAnsi="Calibri"/>
          <w:b/>
          <w:color w:val="2B2B2B"/>
          <w:sz w:val="22"/>
        </w:rPr>
        <w:t>Design Thinking</w:t>
      </w:r>
      <w:r>
        <w:rPr>
          <w:rFonts w:ascii="Calibri" w:hAnsi="Calibri"/>
          <w:b w:val="0"/>
          <w:color w:val="2B2B2B"/>
          <w:sz w:val="22"/>
        </w:rPr>
        <w:t xml:space="preserve"> y al menos dos técnicas de ideación, con un ejemplo tuyo.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Gestión de la innovación (Manual de Oslo / OCDE):</w:t>
      </w:r>
      <w:r>
        <w:rPr>
          <w:rFonts w:ascii="Calibri" w:hAnsi="Calibri"/>
          <w:b w:val="0"/>
          <w:color w:val="2B2B2B"/>
          <w:sz w:val="22"/>
        </w:rPr>
        <w:t xml:space="preserve"> Ten claro qué define el </w:t>
      </w:r>
      <w:r>
        <w:rPr>
          <w:rFonts w:ascii="Calibri" w:hAnsi="Calibri"/>
          <w:b/>
          <w:color w:val="2B2B2B"/>
          <w:sz w:val="22"/>
        </w:rPr>
        <w:t>Manual de Oslo / OCDE</w:t>
      </w:r>
      <w:r>
        <w:rPr>
          <w:rFonts w:ascii="Calibri" w:hAnsi="Calibri"/>
          <w:b w:val="0"/>
          <w:color w:val="2B2B2B"/>
          <w:sz w:val="22"/>
        </w:rPr>
        <w:t xml:space="preserve"> como innovación y cómo se </w:t>
      </w:r>
      <w:r>
        <w:rPr>
          <w:rFonts w:ascii="Calibri" w:hAnsi="Calibri"/>
          <w:b/>
          <w:color w:val="2B2B2B"/>
          <w:sz w:val="22"/>
        </w:rPr>
        <w:t>gestiona</w:t>
      </w:r>
      <w:r>
        <w:rPr>
          <w:rFonts w:ascii="Calibri" w:hAnsi="Calibri"/>
          <w:b w:val="0"/>
          <w:color w:val="2B2B2B"/>
          <w:sz w:val="22"/>
        </w:rPr>
        <w:t xml:space="preserve"> en producto, proceso, organización, marketing y ámbito social.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fresca </w:t>
      </w:r>
      <w:r>
        <w:rPr>
          <w:rFonts w:ascii="Calibri" w:hAnsi="Calibri"/>
          <w:b/>
          <w:color w:val="2B2B2B"/>
          <w:sz w:val="22"/>
        </w:rPr>
        <w:t>tu propia Propuesta de Innovación</w:t>
      </w:r>
      <w:r>
        <w:rPr>
          <w:rFonts w:ascii="Calibri" w:hAnsi="Calibri"/>
          <w:b w:val="0"/>
          <w:color w:val="2B2B2B"/>
          <w:sz w:val="22"/>
        </w:rPr>
        <w:t>: varios ítems se responden mejor pensando en tu caso.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(9%)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(Cuestionario, 9%).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09/09/2026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16/09/2026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(Tipos de innovación),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llega hasta la </w:t>
      </w: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(Gestión de la innovación (Manual de Oslo / OCDE)).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