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16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10/09/2026 – cierre 16/09/2026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(16/09/2026)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(09/09/2026) — Validación de la propuesta · vigilancia tecnológica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(09/09/2026): Sesión 05.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(16/09/2026 — Innovación local–internacional · entidades de apoyo)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r>
        <w:rPr>
          <w:rFonts w:ascii="Calibri" w:hAnsi="Calibri"/>
          <w:b/>
          <w:color w:val="2B2B2B"/>
          <w:sz w:val="22"/>
        </w:rPr>
        <w:t>Material de estudio publicado aparte del deck: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Material de estudio U2 — Bloqueadores y ensanchadores de la creatividad</w:t>
      </w:r>
      <w:r>
        <w:rPr>
          <w:rFonts w:ascii="Calibri" w:hAnsi="Calibri"/>
          <w:b w:val="0"/>
          <w:color w:val="2B2B2B"/>
          <w:sz w:val="22"/>
        </w:rPr>
        <w:t>: sí entra — bloqueadores perceptivos, emocionales y culturales · ensanchadores · la inteligencia emocional como insumo de la creatividad · autodiagnóstico. Está en la carpeta de la Sesión 01 del Drive de clases y como recurso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Gestión de la innovación (Manual de Oslo / OCDE):</w:t>
      </w:r>
      <w:r>
        <w:rPr>
          <w:rFonts w:ascii="Calibri" w:hAnsi="Calibri"/>
          <w:b w:val="0"/>
          <w:color w:val="2B2B2B"/>
          <w:sz w:val="22"/>
        </w:rPr>
        <w:t xml:space="preserve"> Ten claro qué define el </w:t>
      </w:r>
      <w:r>
        <w:rPr>
          <w:rFonts w:ascii="Calibri" w:hAnsi="Calibri"/>
          <w:b/>
          <w:color w:val="2B2B2B"/>
          <w:sz w:val="22"/>
        </w:rPr>
        <w:t>Manual de Oslo / OCDE</w:t>
      </w:r>
      <w:r>
        <w:rPr>
          <w:rFonts w:ascii="Calibri" w:hAnsi="Calibri"/>
          <w:b w:val="0"/>
          <w:color w:val="2B2B2B"/>
          <w:sz w:val="22"/>
        </w:rPr>
        <w:t xml:space="preserve"> como innovación y cómo se </w:t>
      </w:r>
      <w:r>
        <w:rPr>
          <w:rFonts w:ascii="Calibri" w:hAnsi="Calibri"/>
          <w:b/>
          <w:color w:val="2B2B2B"/>
          <w:sz w:val="22"/>
        </w:rPr>
        <w:t>gestiona</w:t>
      </w:r>
      <w:r>
        <w:rPr>
          <w:rFonts w:ascii="Calibri" w:hAnsi="Calibri"/>
          <w:b w:val="0"/>
          <w:color w:val="2B2B2B"/>
          <w:sz w:val="22"/>
        </w:rPr>
        <w:t xml:space="preserve"> en producto, proceso, organización, marketing y ámbito social.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Tipos de innovación:</w:t>
      </w:r>
      <w:r>
        <w:rPr>
          <w:rFonts w:ascii="Calibri" w:hAnsi="Calibri"/>
          <w:b w:val="0"/>
          <w:color w:val="2B2B2B"/>
          <w:sz w:val="22"/>
        </w:rPr>
        <w:t xml:space="preserve"> Tipifica una innovación (producto, proceso, organización, marketing, social) y prepárate para </w:t>
      </w:r>
      <w:r>
        <w:rPr>
          <w:rFonts w:ascii="Calibri" w:hAnsi="Calibri"/>
          <w:b/>
          <w:color w:val="2B2B2B"/>
          <w:sz w:val="22"/>
        </w:rPr>
        <w:t>justificar</w:t>
      </w:r>
      <w:r>
        <w:rPr>
          <w:rFonts w:ascii="Calibri" w:hAnsi="Calibri"/>
          <w:b w:val="0"/>
          <w:color w:val="2B2B2B"/>
          <w:sz w:val="22"/>
        </w:rPr>
        <w:t xml:space="preserve"> por qué la tuya es de ese tipo y no de otro.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Validación de la propuesta · vigilancia tecnológica:</w:t>
      </w:r>
      <w:r>
        <w:rPr>
          <w:rFonts w:ascii="Calibri" w:hAnsi="Calibri"/>
          <w:b w:val="0"/>
          <w:color w:val="2B2B2B"/>
          <w:sz w:val="22"/>
        </w:rPr>
        <w:t xml:space="preserve"> Son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unidades en un encuentro y las dos se preguntan. (a) Para qué sirve cada herramienta de validación: </w:t>
      </w:r>
      <w:r>
        <w:rPr>
          <w:rFonts w:ascii="Calibri" w:hAnsi="Calibri"/>
          <w:b/>
          <w:color w:val="2B2B2B"/>
          <w:sz w:val="22"/>
        </w:rPr>
        <w:t>FODA</w:t>
      </w:r>
      <w:r>
        <w:rPr>
          <w:rFonts w:ascii="Calibri" w:hAnsi="Calibri"/>
          <w:b w:val="0"/>
          <w:color w:val="2B2B2B"/>
          <w:sz w:val="22"/>
        </w:rPr>
        <w:t xml:space="preserve"> (qué va en cada cuadrante), </w:t>
      </w:r>
      <w:r>
        <w:rPr>
          <w:rFonts w:ascii="Calibri" w:hAnsi="Calibri"/>
          <w:b/>
          <w:color w:val="2B2B2B"/>
          <w:sz w:val="22"/>
        </w:rPr>
        <w:t>Canvas / BMC</w:t>
      </w:r>
      <w:r>
        <w:rPr>
          <w:rFonts w:ascii="Calibri" w:hAnsi="Calibri"/>
          <w:b w:val="0"/>
          <w:color w:val="2B2B2B"/>
          <w:sz w:val="22"/>
        </w:rPr>
        <w:t xml:space="preserve"> (qué responde cada bloque) y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 xml:space="preserve"> (mínimo, viable y verificable: se prueba el supuesto más riesgoso con el criterio de éxito fijado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, no es una maqueta bonita). (b) Qué es la </w:t>
      </w: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 xml:space="preserve">, qué dato estratégico se busca (tendencias, patentes, referentes), dónde se busca (Scholar, Google Patents) y por qué debe terminar en una </w:t>
      </w:r>
      <w:r>
        <w:rPr>
          <w:rFonts w:ascii="Calibri" w:hAnsi="Calibri"/>
          <w:b/>
          <w:color w:val="2B2B2B"/>
          <w:sz w:val="22"/>
        </w:rPr>
        <w:t>decisión</w:t>
      </w:r>
      <w:r>
        <w:rPr>
          <w:rFonts w:ascii="Calibri" w:hAnsi="Calibri"/>
          <w:b w:val="0"/>
          <w:color w:val="2B2B2B"/>
          <w:sz w:val="22"/>
        </w:rPr>
        <w:t xml:space="preserve"> sobre tu propuesta, no en una lista de enlaces.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(Innovación local–internacional · entidades de apoyo),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(Validación de la propuesta · vigilancia tecnológica). Es el último cuestionario del curso. Con el temario adelantado, la </w:t>
      </w:r>
      <w:r>
        <w:rPr>
          <w:rFonts w:ascii="Calibri" w:hAnsi="Calibri"/>
          <w:b/>
          <w:color w:val="2B2B2B"/>
          <w:sz w:val="22"/>
        </w:rPr>
        <w:t>vigilancia tecnológica sí entra</w:t>
      </w:r>
      <w:r>
        <w:rPr>
          <w:rFonts w:ascii="Calibri" w:hAnsi="Calibri"/>
          <w:b w:val="0"/>
          <w:color w:val="2B2B2B"/>
          <w:sz w:val="22"/>
        </w:rPr>
        <w:t xml:space="preserve">: se dicta en esa misma Sesión 05, junto con FODA, Canvas y MVP. Lo que queda fuera es el ecosistema de entidades de apoyo, que es materia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(se recibe el 19/09/2026).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