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p>
            <w:pPr>
              <w:jc w:val="right"/>
            </w:pPr>
            <w:r>
              <w:rPr>
                <w:rFonts w:ascii="Calibri" w:hAnsi="Calibri" w:eastAsia="Calibri" w:cs="Calibri"/>
                <w:b w:val="0"/>
                <w:color w:val="007433"/>
                <w:sz w:val="16"/>
              </w:rPr>
              <w:t>Material de estudio U2 - Creatividad y Pensamiento Innovador (EI004)</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Bloqueadores y ensanchadores de la creatividad</w:t>
      </w:r>
    </w:p>
    <w:p>
      <w:r>
        <w:rPr>
          <w:rFonts w:ascii="Calibri" w:hAnsi="Calibri"/>
          <w:b/>
          <w:color w:val="2B2B2B"/>
          <w:sz w:val="22"/>
        </w:rPr>
        <w:t>Material de estudio de la Unidad 2 del Syllabus</w:t>
      </w:r>
      <w:r>
        <w:rPr>
          <w:rFonts w:ascii="Calibri" w:hAnsi="Calibri"/>
          <w:b w:val="0"/>
          <w:color w:val="2B2B2B"/>
          <w:sz w:val="22"/>
        </w:rPr>
        <w:t xml:space="preserve"> — «La inteligencia emocional y su incidencia en la innovación y la creatividad».</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Dato</w:t>
            </w:r>
          </w:p>
        </w:tc>
        <w:tc>
          <w:tcPr>
            <w:tcW w:type="dxa" w:w="4896"/>
            <w:shd w:val="clear" w:fill="0C2340"/>
            <w:shd w:val="clear" w:fill="0C2340"/>
          </w:tcPr>
          <w:p>
            <w:r>
              <w:rPr>
                <w:rFonts w:ascii="Calibri" w:hAnsi="Calibri"/>
                <w:b/>
                <w:color w:val="FFFFFF"/>
              </w:rPr>
            </w:r>
            <w:r>
              <w:rPr>
                <w:rFonts w:ascii="Calibri" w:hAnsi="Calibri"/>
                <w:b/>
                <w:color w:val="FFFFFF"/>
                <w:sz w:val="21"/>
              </w:rPr>
              <w:t>Valor</w:t>
            </w:r>
          </w:p>
        </w:tc>
      </w:tr>
      <w:tr>
        <w:tc>
          <w:tcPr>
            <w:tcW w:type="dxa" w:w="4896"/>
          </w:tcPr>
          <w:p>
            <w:r/>
            <w:r>
              <w:rPr>
                <w:rFonts w:ascii="Calibri" w:hAnsi="Calibri"/>
                <w:b w:val="0"/>
                <w:color w:val="2B2B2B"/>
                <w:sz w:val="20"/>
              </w:rPr>
              <w:t>Asignatura</w:t>
            </w:r>
          </w:p>
        </w:tc>
        <w:tc>
          <w:tcPr>
            <w:tcW w:type="dxa" w:w="4896"/>
          </w:tcPr>
          <w:p>
            <w:r/>
            <w:r>
              <w:rPr>
                <w:rFonts w:ascii="Calibri" w:hAnsi="Calibri"/>
                <w:b w:val="0"/>
                <w:color w:val="2B2B2B"/>
                <w:sz w:val="20"/>
              </w:rPr>
              <w:t>CREATIVIDAD Y PENSAMIENTO INNOVADOR PARA ESCUELA DE INGENIERIAS (EI004)</w:t>
            </w:r>
          </w:p>
        </w:tc>
      </w:tr>
      <w:tr>
        <w:tc>
          <w:tcPr>
            <w:tcW w:type="dxa" w:w="4896"/>
            <w:shd w:val="clear" w:fill="F5F7F5"/>
            <w:shd w:val="clear" w:fill="F5F7F5"/>
          </w:tcPr>
          <w:p>
            <w:r/>
            <w:r>
              <w:rPr>
                <w:rFonts w:ascii="Calibri" w:hAnsi="Calibri"/>
                <w:b w:val="0"/>
                <w:color w:val="2B2B2B"/>
                <w:sz w:val="20"/>
              </w:rPr>
              <w:t>Unidad</w:t>
            </w:r>
          </w:p>
        </w:tc>
        <w:tc>
          <w:tcPr>
            <w:tcW w:type="dxa" w:w="4896"/>
            <w:shd w:val="clear" w:fill="F5F7F5"/>
            <w:shd w:val="clear" w:fill="F5F7F5"/>
          </w:tcPr>
          <w:p>
            <w:r/>
            <w:r>
              <w:rPr>
                <w:rFonts w:ascii="Calibri" w:hAnsi="Calibri"/>
                <w:b/>
                <w:color w:val="2B2B2B"/>
                <w:sz w:val="20"/>
              </w:rPr>
              <w:t>U2</w:t>
            </w:r>
            <w:r>
              <w:rPr>
                <w:rFonts w:ascii="Calibri" w:hAnsi="Calibri"/>
                <w:b w:val="0"/>
                <w:color w:val="2B2B2B"/>
                <w:sz w:val="20"/>
              </w:rPr>
              <w:t xml:space="preserve"> del Syllabus SIAC EI004_VIR — tabla «UNIDADES DE CONOCIMIENTO», fila 2</w:t>
            </w:r>
          </w:p>
        </w:tc>
      </w:tr>
      <w:tr>
        <w:tc>
          <w:tcPr>
            <w:tcW w:type="dxa" w:w="4896"/>
          </w:tcPr>
          <w:p>
            <w:r/>
            <w:r>
              <w:rPr>
                <w:rFonts w:ascii="Calibri" w:hAnsi="Calibri"/>
                <w:b w:val="0"/>
                <w:color w:val="2B2B2B"/>
                <w:sz w:val="20"/>
              </w:rPr>
              <w:t>Para qué evaluación</w:t>
            </w:r>
          </w:p>
        </w:tc>
        <w:tc>
          <w:tcPr>
            <w:tcW w:type="dxa" w:w="4896"/>
          </w:tcPr>
          <w:p>
            <w:r/>
            <w:r>
              <w:rPr>
                <w:rFonts w:ascii="Calibri" w:hAnsi="Calibri"/>
                <w:b/>
                <w:color w:val="2B2B2B"/>
                <w:sz w:val="20"/>
              </w:rPr>
              <w:t>Parcial 1 (24%, corte 1)</w:t>
            </w:r>
            <w:r>
              <w:rPr>
                <w:rFonts w:ascii="Calibri" w:hAnsi="Calibri"/>
                <w:b w:val="0"/>
                <w:color w:val="2B2B2B"/>
                <w:sz w:val="20"/>
              </w:rPr>
              <w:t xml:space="preserve">, que cierra el </w:t>
            </w:r>
            <w:r>
              <w:rPr>
                <w:rFonts w:ascii="Calibri" w:hAnsi="Calibri"/>
                <w:b/>
                <w:color w:val="2B2B2B"/>
                <w:sz w:val="20"/>
              </w:rPr>
              <w:t>26/08/2026</w:t>
            </w:r>
          </w:p>
        </w:tc>
      </w:tr>
      <w:tr>
        <w:tc>
          <w:tcPr>
            <w:tcW w:type="dxa" w:w="4896"/>
            <w:shd w:val="clear" w:fill="F5F7F5"/>
            <w:shd w:val="clear" w:fill="F5F7F5"/>
          </w:tcPr>
          <w:p>
            <w:r/>
            <w:r>
              <w:rPr>
                <w:rFonts w:ascii="Calibri" w:hAnsi="Calibri"/>
                <w:b w:val="0"/>
                <w:color w:val="2B2B2B"/>
                <w:sz w:val="20"/>
              </w:rPr>
              <w:t>¿Entra en el Quiz 1?</w:t>
            </w:r>
          </w:p>
        </w:tc>
        <w:tc>
          <w:tcPr>
            <w:tcW w:type="dxa" w:w="4896"/>
            <w:shd w:val="clear" w:fill="F5F7F5"/>
            <w:shd w:val="clear" w:fill="F5F7F5"/>
          </w:tcPr>
          <w:p>
            <w:r/>
            <w:r>
              <w:rPr>
                <w:rFonts w:ascii="Calibri" w:hAnsi="Calibri"/>
                <w:b/>
                <w:color w:val="2B2B2B"/>
                <w:sz w:val="20"/>
              </w:rPr>
              <w:t>No.</w:t>
            </w:r>
            <w:r>
              <w:rPr>
                <w:rFonts w:ascii="Calibri" w:hAnsi="Calibri"/>
                <w:b w:val="0"/>
                <w:color w:val="2B2B2B"/>
                <w:sz w:val="20"/>
              </w:rPr>
              <w:t xml:space="preserve"> El Quiz 1 (6%) cierra el 19/08/2026 y su alcance quedó fijado sobre las fuentes que ya estaban publicadas el 12/08/2026. </w:t>
            </w:r>
            <w:r>
              <w:rPr>
                <w:rFonts w:ascii="Calibri" w:hAnsi="Calibri"/>
                <w:b/>
                <w:color w:val="2B2B2B"/>
                <w:sz w:val="20"/>
              </w:rPr>
              <w:t>Este documento se publicó después: nada de lo que hay aquí se pregunta en el Quiz 1.</w:t>
            </w:r>
          </w:p>
        </w:tc>
      </w:tr>
      <w:tr>
        <w:tc>
          <w:tcPr>
            <w:tcW w:type="dxa" w:w="4896"/>
          </w:tcPr>
          <w:p>
            <w:r/>
            <w:r>
              <w:rPr>
                <w:rFonts w:ascii="Calibri" w:hAnsi="Calibri"/>
                <w:b w:val="0"/>
                <w:color w:val="2B2B2B"/>
                <w:sz w:val="20"/>
              </w:rPr>
              <w:t>Cuánto toma</w:t>
            </w:r>
          </w:p>
        </w:tc>
        <w:tc>
          <w:tcPr>
            <w:tcW w:type="dxa" w:w="4896"/>
          </w:tcPr>
          <w:p>
            <w:r/>
            <w:r>
              <w:rPr>
                <w:rFonts w:ascii="Calibri" w:hAnsi="Calibri"/>
                <w:b w:val="0"/>
                <w:color w:val="2B2B2B"/>
                <w:sz w:val="20"/>
              </w:rPr>
              <w:t>20–25 minutos de lectura + 10 minutos de autodiagnóstico</w:t>
            </w:r>
          </w:p>
        </w:tc>
      </w:tr>
    </w:tbl>
    <w:p/>
    <w:p>
      <w:pPr>
        <w:ind w:left="432"/>
        <w:shd w:val="clear" w:fill="E8F5EC"/>
      </w:pPr>
      <w:r>
        <w:rPr>
          <w:rFonts w:ascii="Calibri" w:hAnsi="Calibri"/>
          <w:b/>
          <w:i/>
          <w:color w:val="2B2B2B"/>
          <w:sz w:val="21"/>
        </w:rPr>
        <w:t>Por qué existe este documento.</w:t>
      </w:r>
      <w:r>
        <w:rPr>
          <w:rFonts w:ascii="Calibri" w:hAnsi="Calibri"/>
          <w:b w:val="0"/>
          <w:i/>
          <w:color w:val="2B2B2B"/>
          <w:sz w:val="21"/>
        </w:rPr>
        <w:t xml:space="preserve"> El Syllabus exige la U2 y la exige dos veces: como competencia y como recurso docente. La lectura obligatoria de la Sesión 01 (Latorre-Cosculluela et al., 2020) trabaja la dimensión emocional del trabajo creativo, pero </w:t>
      </w:r>
      <w:r>
        <w:rPr>
          <w:rFonts w:ascii="Calibri" w:hAnsi="Calibri"/>
          <w:b/>
          <w:i/>
          <w:color w:val="2B2B2B"/>
          <w:sz w:val="21"/>
        </w:rPr>
        <w:t>no define</w:t>
      </w:r>
      <w:r>
        <w:rPr>
          <w:rFonts w:ascii="Calibri" w:hAnsi="Calibri"/>
          <w:b w:val="0"/>
          <w:i/>
          <w:color w:val="2B2B2B"/>
          <w:sz w:val="21"/>
        </w:rPr>
        <w:t xml:space="preserve"> los bloqueadores ni los ensanchadores. Este documento cubre ese vacío para que usted pueda estudiar la U2 con una fuente propia y citable antes del Parcial 1.</w:t>
      </w:r>
    </w:p>
    <w:p>
      <w:pPr>
        <w:spacing w:before="200" w:after="60"/>
      </w:pPr>
      <w:r>
        <w:rPr>
          <w:rFonts w:ascii="Calibri" w:hAnsi="Calibri"/>
          <w:b/>
          <w:color w:val="007433"/>
          <w:sz w:val="32"/>
        </w:rPr>
        <w:t>1. Lo que el Syllabus pide, en su propia letra</w:t>
      </w:r>
    </w:p>
    <w:p>
      <w:r>
        <w:rPr>
          <w:rFonts w:ascii="Calibri" w:hAnsi="Calibri"/>
          <w:b w:val="0"/>
          <w:color w:val="2B2B2B"/>
          <w:sz w:val="22"/>
        </w:rPr>
        <w:t>La fila 2 de «UNIDADES DE CONOCIMIENTO» dice, textualmente:</w:t>
      </w:r>
    </w:p>
    <w:p>
      <w:pPr>
        <w:ind w:left="432"/>
        <w:shd w:val="clear" w:fill="E8F5EC"/>
      </w:pPr>
      <w:r>
        <w:rPr>
          <w:rFonts w:ascii="Calibri" w:hAnsi="Calibri"/>
          <w:b w:val="0"/>
          <w:i/>
          <w:color w:val="2B2B2B"/>
          <w:sz w:val="21"/>
        </w:rPr>
        <w:t xml:space="preserve">«Identificar la inteligencia emocional como un insumo fundamental para la creatividad e innovación </w:t>
      </w:r>
      <w:r>
        <w:rPr>
          <w:rFonts w:ascii="Calibri" w:hAnsi="Calibri"/>
          <w:b/>
          <w:i/>
          <w:color w:val="2B2B2B"/>
          <w:sz w:val="21"/>
        </w:rPr>
        <w:t>generando procesos de reconocimiento personal de los bloqueadores y ensanchadores</w:t>
      </w:r>
      <w:r>
        <w:rPr>
          <w:rFonts w:ascii="Calibri" w:hAnsi="Calibri"/>
          <w:b w:val="0"/>
          <w:i/>
          <w:color w:val="2B2B2B"/>
          <w:sz w:val="21"/>
        </w:rPr>
        <w:t>. […] Recursos docentes: Talleres de aplicación. Mapa de utilidad para generar procesos de reconocimiento personal de bloqueadores y ensanchadores.»</w:t>
      </w:r>
    </w:p>
    <w:p>
      <w:r>
        <w:rPr>
          <w:rFonts w:ascii="Calibri" w:hAnsi="Calibri"/>
          <w:b w:val="0"/>
          <w:color w:val="2B2B2B"/>
          <w:sz w:val="22"/>
        </w:rPr>
        <w:t>Tres cosas quedan fijadas ahí, y son las que estructuran este documento:</w:t>
      </w:r>
    </w:p>
    <w:p>
      <w:pPr>
        <w:pStyle w:val="ListNumber"/>
      </w:pPr>
      <w:r>
        <w:rPr>
          <w:rFonts w:ascii="Calibri" w:hAnsi="Calibri"/>
          <w:b w:val="0"/>
          <w:color w:val="2B2B2B"/>
          <w:sz w:val="22"/>
        </w:rPr>
        <w:t xml:space="preserve">La </w:t>
      </w:r>
      <w:r>
        <w:rPr>
          <w:rFonts w:ascii="Calibri" w:hAnsi="Calibri"/>
          <w:b/>
          <w:color w:val="2B2B2B"/>
          <w:sz w:val="22"/>
        </w:rPr>
        <w:t>inteligencia emocional</w:t>
      </w:r>
      <w:r>
        <w:rPr>
          <w:rFonts w:ascii="Calibri" w:hAnsi="Calibri"/>
          <w:b w:val="0"/>
          <w:color w:val="2B2B2B"/>
          <w:sz w:val="22"/>
        </w:rPr>
        <w:t xml:space="preserve"> es el marco, no un tema aparte: es el «insumo».</w:t>
      </w:r>
    </w:p>
    <w:p>
      <w:pPr>
        <w:pStyle w:val="ListNumber"/>
      </w:pPr>
      <w:r>
        <w:rPr>
          <w:rFonts w:ascii="Calibri" w:hAnsi="Calibri"/>
          <w:b w:val="0"/>
          <w:color w:val="2B2B2B"/>
          <w:sz w:val="22"/>
        </w:rPr>
        <w:t xml:space="preserve">Los términos oficiales de la asignatura son </w:t>
      </w:r>
      <w:r>
        <w:rPr>
          <w:rFonts w:ascii="Calibri" w:hAnsi="Calibri"/>
          <w:b/>
          <w:color w:val="2B2B2B"/>
          <w:sz w:val="22"/>
        </w:rPr>
        <w:t>bloqueador</w:t>
      </w:r>
      <w:r>
        <w:rPr>
          <w:rFonts w:ascii="Calibri" w:hAnsi="Calibri"/>
          <w:b w:val="0"/>
          <w:color w:val="2B2B2B"/>
          <w:sz w:val="22"/>
        </w:rPr>
        <w:t xml:space="preserve"> y </w:t>
      </w:r>
      <w:r>
        <w:rPr>
          <w:rFonts w:ascii="Calibri" w:hAnsi="Calibri"/>
          <w:b/>
          <w:color w:val="2B2B2B"/>
          <w:sz w:val="22"/>
        </w:rPr>
        <w:t>ensanchador</w:t>
      </w:r>
      <w:r>
        <w:rPr>
          <w:rFonts w:ascii="Calibri" w:hAnsi="Calibri"/>
          <w:b w:val="0"/>
          <w:color w:val="2B2B2B"/>
          <w:sz w:val="22"/>
        </w:rPr>
        <w:t>. No son sinónimos libres: en este curso «bloqueador» es lo que cierra el espacio de ideas y «ensanchador» lo que lo abre.</w:t>
      </w:r>
    </w:p>
    <w:p>
      <w:pPr>
        <w:pStyle w:val="ListNumber"/>
      </w:pPr>
      <w:r>
        <w:rPr>
          <w:rFonts w:ascii="Calibri" w:hAnsi="Calibri"/>
          <w:b w:val="0"/>
          <w:color w:val="2B2B2B"/>
          <w:sz w:val="22"/>
        </w:rPr>
        <w:t xml:space="preserve">Lo que se le pide no es memorizar la lista, es el </w:t>
      </w:r>
      <w:r>
        <w:rPr>
          <w:rFonts w:ascii="Calibri" w:hAnsi="Calibri"/>
          <w:b/>
          <w:color w:val="2B2B2B"/>
          <w:sz w:val="22"/>
        </w:rPr>
        <w:t>reconocimiento personal</w:t>
      </w:r>
      <w:r>
        <w:rPr>
          <w:rFonts w:ascii="Calibri" w:hAnsi="Calibri"/>
          <w:b w:val="0"/>
          <w:color w:val="2B2B2B"/>
          <w:sz w:val="22"/>
        </w:rPr>
        <w:t>: identificar los suyos. De ahí el autodiagnóstico de la sección 5.</w:t>
      </w:r>
    </w:p>
    <w:p>
      <w:pPr>
        <w:spacing w:before="200" w:after="60"/>
      </w:pPr>
      <w:r>
        <w:rPr>
          <w:rFonts w:ascii="Calibri" w:hAnsi="Calibri"/>
          <w:b/>
          <w:color w:val="007433"/>
          <w:sz w:val="32"/>
        </w:rPr>
        <w:t>2. El marco: inteligencia emocional como insumo</w:t>
      </w:r>
    </w:p>
    <w:p>
      <w:r>
        <w:rPr>
          <w:rFonts w:ascii="Calibri" w:hAnsi="Calibri"/>
          <w:b w:val="0"/>
          <w:color w:val="2B2B2B"/>
          <w:sz w:val="22"/>
        </w:rPr>
        <w:t>Goleman popularizó el argumento de que reconocer, nombrar y regular las propias emociones —y leer las de los demás— predice desempeño en contextos donde el trabajo es cognitivo y colectivo (Goleman, 1995; el Syllabus lo lista en su bibliografía). Aplicado a la creatividad, el punto es concreto y poco romántico:</w:t>
      </w:r>
    </w:p>
    <w:p>
      <w:r>
        <w:rPr>
          <w:rFonts w:ascii="Calibri" w:hAnsi="Calibri"/>
          <w:b/>
          <w:color w:val="2B2B2B"/>
          <w:sz w:val="22"/>
        </w:rPr>
        <w:t>Casi todos los bloqueadores de la creatividad se sienten antes de entenderse.</w:t>
      </w:r>
      <w:r>
        <w:rPr>
          <w:rFonts w:ascii="Calibri" w:hAnsi="Calibri"/>
          <w:b w:val="0"/>
          <w:color w:val="2B2B2B"/>
          <w:sz w:val="22"/>
        </w:rPr>
        <w:t xml:space="preserve"> Llegan como una emoción —vergüenza, miedo al ridículo, fastidio, prisa, resignación— y solo después se disfrazan de argumento técnico («no es viable», «no es mi área», «no hay tiempo»). Si usted no puede nombrar la emoción, no puede desmontar el argumento, porque el argumento no era el problema.</w:t>
      </w:r>
    </w:p>
    <w:p>
      <w:r>
        <w:rPr>
          <w:rFonts w:ascii="Calibri" w:hAnsi="Calibri"/>
          <w:b w:val="0"/>
          <w:color w:val="2B2B2B"/>
          <w:sz w:val="22"/>
        </w:rPr>
        <w:t>Esto no es una intuición del docente. La lectura obligatoria de la Sesión 01 reporta, en equipos de estudiantes universitarios trabajando problemas reales, que lo que sostiene el trabajo creativo en grupo es de orden emocional y relacional: empatía, escucha y manejo de las diferencias de opinión dentro del equipo (Latorre-Cosculluela, Vázquez-Toledo, Rodríguez-Martínez y Liesa-Orús, 2020). El PDF está en esta misma carpeta.</w:t>
      </w:r>
    </w:p>
    <w:p>
      <w:r>
        <w:rPr>
          <w:rFonts w:ascii="Calibri" w:hAnsi="Calibri"/>
          <w:b w:val="0"/>
          <w:color w:val="2B2B2B"/>
          <w:sz w:val="22"/>
        </w:rPr>
        <w:t xml:space="preserve">Y en la literatura empírica, la revisión de segundo orden de da Costa, Páez, Sánchez, Garaigordobil y Gondim (2015) —también en la bibliografía del Syllabus— encuentra que la creatividad se asocia de forma consistente con </w:t>
      </w:r>
      <w:r>
        <w:rPr>
          <w:rFonts w:ascii="Calibri" w:hAnsi="Calibri"/>
          <w:b/>
          <w:color w:val="2B2B2B"/>
          <w:sz w:val="22"/>
        </w:rPr>
        <w:t>factores personales entrenables</w:t>
      </w:r>
      <w:r>
        <w:rPr>
          <w:rFonts w:ascii="Calibri" w:hAnsi="Calibri"/>
          <w:b w:val="0"/>
          <w:color w:val="2B2B2B"/>
          <w:sz w:val="22"/>
        </w:rPr>
        <w:t>, entre ellos la apertura a la experiencia y la motivación intrínseca, no con un talento fijo. Ese hallazgo es el que hace que este tema tenga sentido: si fuera talento, no habría nada que desbloquear.</w:t>
      </w:r>
    </w:p>
    <w:p>
      <w:pPr>
        <w:spacing w:before="200" w:after="60"/>
      </w:pPr>
      <w:r>
        <w:rPr>
          <w:rFonts w:ascii="Calibri" w:hAnsi="Calibri"/>
          <w:b/>
          <w:color w:val="007433"/>
          <w:sz w:val="32"/>
        </w:rPr>
        <w:t>3. Bloqueadores: cinco familias</w:t>
      </w:r>
    </w:p>
    <w:p>
      <w:r>
        <w:rPr>
          <w:rFonts w:ascii="Calibri" w:hAnsi="Calibri"/>
          <w:b w:val="0"/>
          <w:color w:val="2B2B2B"/>
          <w:sz w:val="22"/>
        </w:rPr>
        <w:t xml:space="preserve">Un </w:t>
      </w:r>
      <w:r>
        <w:rPr>
          <w:rFonts w:ascii="Calibri" w:hAnsi="Calibri"/>
          <w:b/>
          <w:color w:val="2B2B2B"/>
          <w:sz w:val="22"/>
        </w:rPr>
        <w:t>bloqueador</w:t>
      </w:r>
      <w:r>
        <w:rPr>
          <w:rFonts w:ascii="Calibri" w:hAnsi="Calibri"/>
          <w:b w:val="0"/>
          <w:color w:val="2B2B2B"/>
          <w:sz w:val="22"/>
        </w:rPr>
        <w:t xml:space="preserve"> es un obstáculo que impide formular, retener o expresar una idea; no impide </w:t>
      </w:r>
      <w:r>
        <w:rPr>
          <w:rFonts w:ascii="Calibri" w:hAnsi="Calibri"/>
          <w:b/>
          <w:color w:val="2B2B2B"/>
          <w:sz w:val="22"/>
        </w:rPr>
        <w:t>tener razón</w:t>
      </w:r>
      <w:r>
        <w:rPr>
          <w:rFonts w:ascii="Calibri" w:hAnsi="Calibri"/>
          <w:b w:val="0"/>
          <w:color w:val="2B2B2B"/>
          <w:sz w:val="22"/>
        </w:rPr>
        <w:t xml:space="preserve">, impide </w:t>
      </w:r>
      <w:r>
        <w:rPr>
          <w:rFonts w:ascii="Calibri" w:hAnsi="Calibri"/>
          <w:b/>
          <w:color w:val="2B2B2B"/>
          <w:sz w:val="22"/>
        </w:rPr>
        <w:t>tener opciones</w:t>
      </w:r>
      <w:r>
        <w:rPr>
          <w:rFonts w:ascii="Calibri" w:hAnsi="Calibri"/>
          <w:b w:val="0"/>
          <w:color w:val="2B2B2B"/>
          <w:sz w:val="22"/>
        </w:rPr>
        <w:t xml:space="preserve">. La taxonomía clásica es la de James L. Adams en </w:t>
      </w:r>
      <w:r>
        <w:rPr>
          <w:rFonts w:ascii="Calibri" w:hAnsi="Calibri"/>
          <w:b/>
          <w:color w:val="2B2B2B"/>
          <w:sz w:val="22"/>
        </w:rPr>
        <w:t>Conceptual Blockbusting</w:t>
      </w:r>
      <w:r>
        <w:rPr>
          <w:rFonts w:ascii="Calibri" w:hAnsi="Calibri"/>
          <w:b w:val="0"/>
          <w:color w:val="2B2B2B"/>
          <w:sz w:val="22"/>
        </w:rPr>
        <w:t>, escrita para estudiantes de ingeniería de Stanford (Adams, 2019; 1.ª ed. 1974) y es la que se usa aquí.</w:t>
      </w:r>
    </w:p>
    <w:p>
      <w:pPr>
        <w:ind w:left="432"/>
        <w:shd w:val="clear" w:fill="E8F5EC"/>
      </w:pPr>
      <w:r>
        <w:rPr>
          <w:rFonts w:ascii="Calibri" w:hAnsi="Calibri"/>
          <w:b/>
          <w:i/>
          <w:color w:val="2B2B2B"/>
          <w:sz w:val="21"/>
        </w:rPr>
        <w:t>Nota de precisión.</w:t>
      </w:r>
      <w:r>
        <w:rPr>
          <w:rFonts w:ascii="Calibri" w:hAnsi="Calibri"/>
          <w:b w:val="0"/>
          <w:i/>
          <w:color w:val="2B2B2B"/>
          <w:sz w:val="21"/>
        </w:rPr>
        <w:t xml:space="preserve"> Adams las trata en cuatro bloques —perceptuales; emocionales; culturales y de entorno; intelectuales y de expresión—. Aquí se separan en cinco familias porque en ingeniería el bloqueador </w:t>
      </w:r>
      <w:r>
        <w:rPr>
          <w:rFonts w:ascii="Calibri" w:hAnsi="Calibri"/>
          <w:b/>
          <w:i/>
          <w:color w:val="2B2B2B"/>
          <w:sz w:val="21"/>
        </w:rPr>
        <w:t>cultural</w:t>
      </w:r>
      <w:r>
        <w:rPr>
          <w:rFonts w:ascii="Calibri" w:hAnsi="Calibri"/>
          <w:b w:val="0"/>
          <w:i/>
          <w:color w:val="2B2B2B"/>
          <w:sz w:val="21"/>
        </w:rPr>
        <w:t xml:space="preserve"> (lo que el grupo considera aceptable) y el </w:t>
      </w:r>
      <w:r>
        <w:rPr>
          <w:rFonts w:ascii="Calibri" w:hAnsi="Calibri"/>
          <w:b/>
          <w:i/>
          <w:color w:val="2B2B2B"/>
          <w:sz w:val="21"/>
        </w:rPr>
        <w:t>de entorno</w:t>
      </w:r>
      <w:r>
        <w:rPr>
          <w:rFonts w:ascii="Calibri" w:hAnsi="Calibri"/>
          <w:b w:val="0"/>
          <w:i/>
          <w:color w:val="2B2B2B"/>
          <w:sz w:val="21"/>
        </w:rPr>
        <w:t xml:space="preserve"> (lo que el sitio y la organización permiten) se atacan con acciones distintas. La fuente es la misma; el corte en cinco es didáctico.</w:t>
      </w:r>
    </w:p>
    <w:p>
      <w:pPr>
        <w:spacing w:before="200" w:after="60"/>
      </w:pPr>
      <w:r>
        <w:rPr>
          <w:rFonts w:ascii="Calibri" w:hAnsi="Calibri"/>
          <w:b/>
          <w:color w:val="007433"/>
          <w:sz w:val="32"/>
        </w:rPr>
        <w:t>3.1 Bloqueadores perceptuales — no ve el problema completo</w:t>
      </w:r>
    </w:p>
    <w:p>
      <w:r>
        <w:rPr>
          <w:rFonts w:ascii="Calibri" w:hAnsi="Calibri"/>
          <w:b w:val="0"/>
          <w:color w:val="2B2B2B"/>
          <w:sz w:val="22"/>
        </w:rPr>
        <w:t>Ver mal el problema antes de intentar resolverlo: delimitarlo demasiado pronto, dar por sentado lo que nadie verificó, no distinguir causa de síntoma, mirar el sistema desde un solo punto de vista.</w:t>
      </w:r>
    </w:p>
    <w:p>
      <w:pPr>
        <w:pStyle w:val="ListBullet"/>
      </w:pPr>
      <w:r>
        <w:rPr>
          <w:rFonts w:ascii="Calibri" w:hAnsi="Calibri"/>
          <w:b/>
          <w:color w:val="2B2B2B"/>
          <w:sz w:val="22"/>
        </w:rPr>
        <w:t>En ingeniería:</w:t>
      </w:r>
      <w:r>
        <w:rPr>
          <w:rFonts w:ascii="Calibri" w:hAnsi="Calibri"/>
          <w:b w:val="0"/>
          <w:color w:val="2B2B2B"/>
          <w:sz w:val="22"/>
        </w:rPr>
        <w:t xml:space="preserve"> el usuario reporta «el sistema está lento» y el equipo pasa tres semanas optimizando consultas SQL. El cuello de botella estaba en un reporte que un funcionario exportaba a mano cada mañana. Nadie fue a mirar.</w:t>
      </w:r>
    </w:p>
    <w:p>
      <w:pPr>
        <w:pStyle w:val="ListBullet"/>
      </w:pPr>
      <w:r>
        <w:rPr>
          <w:rFonts w:ascii="Calibri" w:hAnsi="Calibri"/>
          <w:b/>
          <w:color w:val="2B2B2B"/>
          <w:sz w:val="22"/>
        </w:rPr>
        <w:t>Señal de que lo tiene:</w:t>
      </w:r>
      <w:r>
        <w:rPr>
          <w:rFonts w:ascii="Calibri" w:hAnsi="Calibri"/>
          <w:b w:val="0"/>
          <w:color w:val="2B2B2B"/>
          <w:sz w:val="22"/>
        </w:rPr>
        <w:t xml:space="preserve"> su enunciado del problema ya contiene la solución («necesitamos una app para…»). Eso no es un problema, es una solución sin diagnóstico.</w:t>
      </w:r>
    </w:p>
    <w:p>
      <w:pPr>
        <w:spacing w:before="200" w:after="60"/>
      </w:pPr>
      <w:r>
        <w:rPr>
          <w:rFonts w:ascii="Calibri" w:hAnsi="Calibri"/>
          <w:b/>
          <w:color w:val="007433"/>
          <w:sz w:val="32"/>
        </w:rPr>
        <w:t>3.2 Bloqueadores emocionales — ve el problema y no se atreve</w:t>
      </w:r>
    </w:p>
    <w:p>
      <w:r>
        <w:rPr>
          <w:rFonts w:ascii="Calibri" w:hAnsi="Calibri"/>
          <w:b w:val="0"/>
          <w:color w:val="2B2B2B"/>
          <w:sz w:val="22"/>
        </w:rPr>
        <w:t>Miedo a equivocarse en público, intolerancia a la ambigüedad, necesidad de resolver rápido para quitarse la incomodidad, juzgar la propia idea antes de terminar de escribirla, y la creencia «yo no soy creativo».</w:t>
      </w:r>
    </w:p>
    <w:p>
      <w:pPr>
        <w:pStyle w:val="ListBullet"/>
      </w:pPr>
      <w:r>
        <w:rPr>
          <w:rFonts w:ascii="Calibri" w:hAnsi="Calibri"/>
          <w:b/>
          <w:color w:val="2B2B2B"/>
          <w:sz w:val="22"/>
        </w:rPr>
        <w:t>En ingeniería:</w:t>
      </w:r>
      <w:r>
        <w:rPr>
          <w:rFonts w:ascii="Calibri" w:hAnsi="Calibri"/>
          <w:b w:val="0"/>
          <w:color w:val="2B2B2B"/>
          <w:sz w:val="22"/>
        </w:rPr>
        <w:t xml:space="preserve"> en la reunión de arranque usted intuye que el requerimiento del cliente es contradictorio, pero no lo dice porque los demás llevan más años. El error sale a la luz en pruebas, con el costo multiplicado.</w:t>
      </w:r>
    </w:p>
    <w:p>
      <w:pPr>
        <w:pStyle w:val="ListBullet"/>
      </w:pPr>
      <w:r>
        <w:rPr>
          <w:rFonts w:ascii="Calibri" w:hAnsi="Calibri"/>
          <w:b/>
          <w:color w:val="2B2B2B"/>
          <w:sz w:val="22"/>
        </w:rPr>
        <w:t>Señal de que lo tiene:</w:t>
      </w:r>
      <w:r>
        <w:rPr>
          <w:rFonts w:ascii="Calibri" w:hAnsi="Calibri"/>
          <w:b w:val="0"/>
          <w:color w:val="2B2B2B"/>
          <w:sz w:val="22"/>
        </w:rPr>
        <w:t xml:space="preserve"> tiene ideas que solo escribe en su cuaderno y nunca en el canal del equipo.</w:t>
      </w:r>
    </w:p>
    <w:p>
      <w:pPr>
        <w:spacing w:before="200" w:after="60"/>
      </w:pPr>
      <w:r>
        <w:rPr>
          <w:rFonts w:ascii="Calibri" w:hAnsi="Calibri"/>
          <w:b/>
          <w:color w:val="007433"/>
          <w:sz w:val="32"/>
        </w:rPr>
        <w:t>3.3 Bloqueadores culturales — el grupo ya decidió qué es serio</w:t>
      </w:r>
    </w:p>
    <w:p>
      <w:r>
        <w:rPr>
          <w:rFonts w:ascii="Calibri" w:hAnsi="Calibri"/>
          <w:b w:val="0"/>
          <w:color w:val="2B2B2B"/>
          <w:sz w:val="22"/>
        </w:rPr>
        <w:t>Reglas no escritas del entorno profesional: que jugar o explorar es perder el tiempo, que solo cuenta lo cuantitativo, que la intuición no se menciona, que el humor resta autoridad, que preguntar delata ignorancia.</w:t>
      </w:r>
    </w:p>
    <w:p>
      <w:pPr>
        <w:pStyle w:val="ListBullet"/>
      </w:pPr>
      <w:r>
        <w:rPr>
          <w:rFonts w:ascii="Calibri" w:hAnsi="Calibri"/>
          <w:b/>
          <w:color w:val="2B2B2B"/>
          <w:sz w:val="22"/>
        </w:rPr>
        <w:t>En ingeniería:</w:t>
      </w:r>
      <w:r>
        <w:rPr>
          <w:rFonts w:ascii="Calibri" w:hAnsi="Calibri"/>
          <w:b w:val="0"/>
          <w:color w:val="2B2B2B"/>
          <w:sz w:val="22"/>
        </w:rPr>
        <w:t xml:space="preserve"> proponer un prototipo en cartón para probar la ubicación de un tablero de control y que la respuesta sea «eso es de diseño, nosotros hacemos ingeniería». El cartón cuesta cero y el tablero mal ubicado cuesta una obra.</w:t>
      </w:r>
    </w:p>
    <w:p>
      <w:pPr>
        <w:pStyle w:val="ListBullet"/>
      </w:pPr>
      <w:r>
        <w:rPr>
          <w:rFonts w:ascii="Calibri" w:hAnsi="Calibri"/>
          <w:b/>
          <w:color w:val="2B2B2B"/>
          <w:sz w:val="22"/>
        </w:rPr>
        <w:t>Señal de que lo tiene:</w:t>
      </w:r>
      <w:r>
        <w:rPr>
          <w:rFonts w:ascii="Calibri" w:hAnsi="Calibri"/>
          <w:b w:val="0"/>
          <w:color w:val="2B2B2B"/>
          <w:sz w:val="22"/>
        </w:rPr>
        <w:t xml:space="preserve"> descarta ideas por cómo se verían, no por lo que costarían.</w:t>
      </w:r>
    </w:p>
    <w:p>
      <w:pPr>
        <w:spacing w:before="200" w:after="60"/>
      </w:pPr>
      <w:r>
        <w:rPr>
          <w:rFonts w:ascii="Calibri" w:hAnsi="Calibri"/>
          <w:b/>
          <w:color w:val="007433"/>
          <w:sz w:val="32"/>
        </w:rPr>
        <w:t>3.4 Bloqueadores de entorno — el sitio no deja pensar</w:t>
      </w:r>
    </w:p>
    <w:p>
      <w:r>
        <w:rPr>
          <w:rFonts w:ascii="Calibri" w:hAnsi="Calibri"/>
          <w:b w:val="0"/>
          <w:color w:val="2B2B2B"/>
          <w:sz w:val="22"/>
        </w:rPr>
        <w:t>Condiciones materiales y organizacionales: interrupción permanente, ausencia de tiempo protegido, jefatura que castiga el error, falta de apoyo o de recursos, ausencia de alguien con quien contrastar.</w:t>
      </w:r>
    </w:p>
    <w:p>
      <w:pPr>
        <w:pStyle w:val="ListBullet"/>
      </w:pPr>
      <w:r>
        <w:rPr>
          <w:rFonts w:ascii="Calibri" w:hAnsi="Calibri"/>
          <w:b/>
          <w:color w:val="2B2B2B"/>
          <w:sz w:val="22"/>
        </w:rPr>
        <w:t>En ingeniería:</w:t>
      </w:r>
      <w:r>
        <w:rPr>
          <w:rFonts w:ascii="Calibri" w:hAnsi="Calibri"/>
          <w:b w:val="0"/>
          <w:color w:val="2B2B2B"/>
          <w:sz w:val="22"/>
        </w:rPr>
        <w:t xml:space="preserve"> un ingeniero de planta con turnos de 12 horas, radio encendido y tres urgencias simultáneas no va a producir una propuesta de mejora, y no es por falta de capacidad.</w:t>
      </w:r>
    </w:p>
    <w:p>
      <w:pPr>
        <w:pStyle w:val="ListBullet"/>
      </w:pPr>
      <w:r>
        <w:rPr>
          <w:rFonts w:ascii="Calibri" w:hAnsi="Calibri"/>
          <w:b/>
          <w:color w:val="2B2B2B"/>
          <w:sz w:val="22"/>
        </w:rPr>
        <w:t>Evidencia:</w:t>
      </w:r>
      <w:r>
        <w:rPr>
          <w:rFonts w:ascii="Calibri" w:hAnsi="Calibri"/>
          <w:b w:val="0"/>
          <w:color w:val="2B2B2B"/>
          <w:sz w:val="22"/>
        </w:rPr>
        <w:t xml:space="preserve"> Amabile, Conti, Coon, Lazenby y Herron (1996), midiendo el clima laboral en organizaciones reales, encuentran que el entorno percibido discrimina entre proyectos de alta y baja creatividad. Los estimulantes más fuertes son el </w:t>
      </w:r>
      <w:r>
        <w:rPr>
          <w:rFonts w:ascii="Calibri" w:hAnsi="Calibri"/>
          <w:b/>
          <w:color w:val="2B2B2B"/>
          <w:sz w:val="22"/>
        </w:rPr>
        <w:t>apoyo organizacional y del equipo</w:t>
      </w:r>
      <w:r>
        <w:rPr>
          <w:rFonts w:ascii="Calibri" w:hAnsi="Calibri"/>
          <w:b w:val="0"/>
          <w:color w:val="2B2B2B"/>
          <w:sz w:val="22"/>
        </w:rPr>
        <w:t xml:space="preserve"> y el </w:t>
      </w:r>
      <w:r>
        <w:rPr>
          <w:rFonts w:ascii="Calibri" w:hAnsi="Calibri"/>
          <w:b/>
          <w:color w:val="2B2B2B"/>
          <w:sz w:val="22"/>
        </w:rPr>
        <w:t>trabajo desafiante</w:t>
      </w:r>
      <w:r>
        <w:rPr>
          <w:rFonts w:ascii="Calibri" w:hAnsi="Calibri"/>
          <w:b w:val="0"/>
          <w:color w:val="2B2B2B"/>
          <w:sz w:val="22"/>
        </w:rPr>
        <w:t xml:space="preserve">; los obstáculos más fuertes, la </w:t>
      </w:r>
      <w:r>
        <w:rPr>
          <w:rFonts w:ascii="Calibri" w:hAnsi="Calibri"/>
          <w:b/>
          <w:color w:val="2B2B2B"/>
          <w:sz w:val="22"/>
        </w:rPr>
        <w:t>carga de trabajo excesiva</w:t>
      </w:r>
      <w:r>
        <w:rPr>
          <w:rFonts w:ascii="Calibri" w:hAnsi="Calibri"/>
          <w:b w:val="0"/>
          <w:color w:val="2B2B2B"/>
          <w:sz w:val="22"/>
        </w:rPr>
        <w:t xml:space="preserve"> y las </w:t>
      </w:r>
      <w:r>
        <w:rPr>
          <w:rFonts w:ascii="Calibri" w:hAnsi="Calibri"/>
          <w:b/>
          <w:color w:val="2B2B2B"/>
          <w:sz w:val="22"/>
        </w:rPr>
        <w:t>trabas organizacionales</w:t>
      </w:r>
      <w:r>
        <w:rPr>
          <w:rFonts w:ascii="Calibri" w:hAnsi="Calibri"/>
          <w:b w:val="0"/>
          <w:color w:val="2B2B2B"/>
          <w:sz w:val="22"/>
        </w:rPr>
        <w:t>. Es decir: el entorno no es una excusa, es una variable medida.</w:t>
      </w:r>
    </w:p>
    <w:p>
      <w:pPr>
        <w:pStyle w:val="ListBullet"/>
      </w:pPr>
      <w:r>
        <w:rPr>
          <w:rFonts w:ascii="Calibri" w:hAnsi="Calibri"/>
          <w:b/>
          <w:color w:val="2B2B2B"/>
          <w:sz w:val="22"/>
        </w:rPr>
        <w:t>Señal de que lo tiene:</w:t>
      </w:r>
      <w:r>
        <w:rPr>
          <w:rFonts w:ascii="Calibri" w:hAnsi="Calibri"/>
          <w:b w:val="0"/>
          <w:color w:val="2B2B2B"/>
          <w:sz w:val="22"/>
        </w:rPr>
        <w:t xml:space="preserve"> sus mejores ideas del mes se le ocurrieron fuera del trabajo.</w:t>
      </w:r>
    </w:p>
    <w:p>
      <w:pPr>
        <w:spacing w:before="200" w:after="60"/>
      </w:pPr>
      <w:r>
        <w:rPr>
          <w:rFonts w:ascii="Calibri" w:hAnsi="Calibri"/>
          <w:b/>
          <w:color w:val="007433"/>
          <w:sz w:val="32"/>
        </w:rPr>
        <w:t>3.5 Bloqueadores de expresión — la idea existe y no sale</w:t>
      </w:r>
    </w:p>
    <w:p>
      <w:r>
        <w:rPr>
          <w:rFonts w:ascii="Calibri" w:hAnsi="Calibri"/>
          <w:b w:val="0"/>
          <w:color w:val="2B2B2B"/>
          <w:sz w:val="22"/>
        </w:rPr>
        <w:t>Tener la idea y no poder ponerla en un lenguaje que otro entienda o que usted mismo pueda examinar: no dibujarla, no escribirla, no tener el vocabulario, quedarse en un único lenguaje (solo palabras, solo números, solo código).</w:t>
      </w:r>
    </w:p>
    <w:p>
      <w:pPr>
        <w:pStyle w:val="ListBullet"/>
      </w:pPr>
      <w:r>
        <w:rPr>
          <w:rFonts w:ascii="Calibri" w:hAnsi="Calibri"/>
          <w:b/>
          <w:color w:val="2B2B2B"/>
          <w:sz w:val="22"/>
        </w:rPr>
        <w:t>En ingeniería:</w:t>
      </w:r>
      <w:r>
        <w:rPr>
          <w:rFonts w:ascii="Calibri" w:hAnsi="Calibri"/>
          <w:b w:val="0"/>
          <w:color w:val="2B2B2B"/>
          <w:sz w:val="22"/>
        </w:rPr>
        <w:t xml:space="preserve"> la idea correcta de arquitectura muere en un párrafo de correo porque nadie hizo el diagrama de tres cajas y dos flechas que la habría vuelto obvia.</w:t>
      </w:r>
    </w:p>
    <w:p>
      <w:pPr>
        <w:pStyle w:val="ListBullet"/>
      </w:pPr>
      <w:r>
        <w:rPr>
          <w:rFonts w:ascii="Calibri" w:hAnsi="Calibri"/>
          <w:b/>
          <w:color w:val="2B2B2B"/>
          <w:sz w:val="22"/>
        </w:rPr>
        <w:t>Señal de que lo tiene:</w:t>
      </w:r>
      <w:r>
        <w:rPr>
          <w:rFonts w:ascii="Calibri" w:hAnsi="Calibri"/>
          <w:b w:val="0"/>
          <w:color w:val="2B2B2B"/>
          <w:sz w:val="22"/>
        </w:rPr>
        <w:t xml:space="preserve"> explica lo mismo tres veces y su interlocutor sigue entendiendo otra cosa. Casi siempre falta un cambio de lenguaje, no más palabras.</w:t>
      </w:r>
    </w:p>
    <w:p>
      <w:r>
        <w:rPr>
          <w:rFonts w:ascii="Calibri" w:hAnsi="Calibri"/>
          <w:b/>
          <w:color w:val="2B2B2B"/>
          <w:sz w:val="22"/>
        </w:rPr>
        <w:t>Antecedente en el país y en la bibliografía del curso.</w:t>
      </w:r>
      <w:r>
        <w:rPr>
          <w:rFonts w:ascii="Calibri" w:hAnsi="Calibri"/>
          <w:b w:val="0"/>
          <w:color w:val="2B2B2B"/>
          <w:sz w:val="22"/>
        </w:rPr>
        <w:t xml:space="preserve"> El Syllabus incluye a López et al. (2004), «Los inhibidores personales como principal obstáculo para el desarrollo de la creatividad a nivel empresarial» (Revista Creando, Universidad Nacional de Colombia, Sede Manizales): el mismo argumento, en contexto empresarial colombiano, con «inhibidores personales» como término. Es útil saber que el término convive con otros.</w:t>
      </w:r>
    </w:p>
    <w:p>
      <w:pPr>
        <w:spacing w:before="200" w:after="60"/>
      </w:pPr>
      <w:r>
        <w:rPr>
          <w:rFonts w:ascii="Calibri" w:hAnsi="Calibri"/>
          <w:b/>
          <w:color w:val="007433"/>
          <w:sz w:val="32"/>
        </w:rPr>
        <w:t>4. Ensanchadores: lo que abre el espacio de ideas</w:t>
      </w:r>
    </w:p>
    <w:p>
      <w:r>
        <w:rPr>
          <w:rFonts w:ascii="Calibri" w:hAnsi="Calibri"/>
          <w:b w:val="0"/>
          <w:color w:val="2B2B2B"/>
          <w:sz w:val="22"/>
        </w:rPr>
        <w:t xml:space="preserve">Un </w:t>
      </w:r>
      <w:r>
        <w:rPr>
          <w:rFonts w:ascii="Calibri" w:hAnsi="Calibri"/>
          <w:b/>
          <w:color w:val="2B2B2B"/>
          <w:sz w:val="22"/>
        </w:rPr>
        <w:t>ensanchador</w:t>
      </w:r>
      <w:r>
        <w:rPr>
          <w:rFonts w:ascii="Calibri" w:hAnsi="Calibri"/>
          <w:b w:val="0"/>
          <w:color w:val="2B2B2B"/>
          <w:sz w:val="22"/>
        </w:rPr>
        <w:t xml:space="preserve"> es una acción o condición que aumenta la cantidad y variedad de opciones disponibles antes de decidir. Dos advertencias, porque aquí es donde este tema se echa a perder:</w:t>
      </w:r>
    </w:p>
    <w:p>
      <w:pPr>
        <w:pStyle w:val="ListNumber"/>
      </w:pPr>
      <w:r>
        <w:rPr>
          <w:rFonts w:ascii="Calibri" w:hAnsi="Calibri"/>
          <w:b/>
          <w:color w:val="2B2B2B"/>
          <w:sz w:val="22"/>
        </w:rPr>
        <w:t>Un ensanchador no es una frase motivacional.</w:t>
      </w:r>
      <w:r>
        <w:rPr>
          <w:rFonts w:ascii="Calibri" w:hAnsi="Calibri"/>
          <w:b w:val="0"/>
          <w:color w:val="2B2B2B"/>
          <w:sz w:val="22"/>
        </w:rPr>
        <w:t xml:space="preserve"> «Voy a ser más creativo» no es un ensanchador. «El jueves 7:00 p. m. le hago tres preguntas al operario del turno de la noche» sí lo es: tiene verbo, hora y alguien concreto.</w:t>
      </w:r>
    </w:p>
    <w:p>
      <w:pPr>
        <w:pStyle w:val="ListNumber"/>
      </w:pPr>
      <w:r>
        <w:rPr>
          <w:rFonts w:ascii="Calibri" w:hAnsi="Calibri"/>
          <w:b/>
          <w:color w:val="2B2B2B"/>
          <w:sz w:val="22"/>
        </w:rPr>
        <w:t>Ensanchar no es decidir.</w:t>
      </w:r>
      <w:r>
        <w:rPr>
          <w:rFonts w:ascii="Calibri" w:hAnsi="Calibri"/>
          <w:b w:val="0"/>
          <w:color w:val="2B2B2B"/>
          <w:sz w:val="22"/>
        </w:rPr>
        <w:t xml:space="preserve"> Primero se abre (divergir), después se cierra (converger). Mezclar las dos cosas es el modo más común de matar ideas propias.</w:t>
      </w:r>
    </w:p>
    <w:p>
      <w:pPr>
        <w:spacing w:before="200" w:after="60"/>
      </w:pPr>
      <w:r>
        <w:rPr>
          <w:rFonts w:ascii="Calibri" w:hAnsi="Calibri"/>
          <w:b/>
          <w:color w:val="007433"/>
          <w:sz w:val="32"/>
        </w:rPr>
        <w:t>4.1 La base conceptual: divergir antes de converger</w:t>
      </w:r>
    </w:p>
    <w:p>
      <w:r>
        <w:rPr>
          <w:rFonts w:ascii="Calibri" w:hAnsi="Calibri"/>
          <w:b w:val="0"/>
          <w:color w:val="2B2B2B"/>
          <w:sz w:val="22"/>
        </w:rPr>
        <w:t xml:space="preserve">Guilford (1950), en la conferencia que abre la psicología moderna de la creatividad, distingue la </w:t>
      </w:r>
      <w:r>
        <w:rPr>
          <w:rFonts w:ascii="Calibri" w:hAnsi="Calibri"/>
          <w:b/>
          <w:color w:val="2B2B2B"/>
          <w:sz w:val="22"/>
        </w:rPr>
        <w:t>producción divergente</w:t>
      </w:r>
      <w:r>
        <w:rPr>
          <w:rFonts w:ascii="Calibri" w:hAnsi="Calibri"/>
          <w:b w:val="0"/>
          <w:color w:val="2B2B2B"/>
          <w:sz w:val="22"/>
        </w:rPr>
        <w:t xml:space="preserve"> —generar muchas respuestas posibles a un problema abierto— de la convergente, que busca la única respuesta correcta. Los indicadores de la divergencia son los que Torrance (1966) operacionalizó después en sus pruebas: </w:t>
      </w:r>
      <w:r>
        <w:rPr>
          <w:rFonts w:ascii="Calibri" w:hAnsi="Calibri"/>
          <w:b/>
          <w:color w:val="2B2B2B"/>
          <w:sz w:val="22"/>
        </w:rPr>
        <w:t>fluidez</w:t>
      </w:r>
      <w:r>
        <w:rPr>
          <w:rFonts w:ascii="Calibri" w:hAnsi="Calibri"/>
          <w:b w:val="0"/>
          <w:color w:val="2B2B2B"/>
          <w:sz w:val="22"/>
        </w:rPr>
        <w:t xml:space="preserve"> (cuántas ideas), </w:t>
      </w:r>
      <w:r>
        <w:rPr>
          <w:rFonts w:ascii="Calibri" w:hAnsi="Calibri"/>
          <w:b/>
          <w:color w:val="2B2B2B"/>
          <w:sz w:val="22"/>
        </w:rPr>
        <w:t>flexibilidad</w:t>
      </w:r>
      <w:r>
        <w:rPr>
          <w:rFonts w:ascii="Calibri" w:hAnsi="Calibri"/>
          <w:b w:val="0"/>
          <w:color w:val="2B2B2B"/>
          <w:sz w:val="22"/>
        </w:rPr>
        <w:t xml:space="preserve"> (cuántas categorías distintas), </w:t>
      </w:r>
      <w:r>
        <w:rPr>
          <w:rFonts w:ascii="Calibri" w:hAnsi="Calibri"/>
          <w:b/>
          <w:color w:val="2B2B2B"/>
          <w:sz w:val="22"/>
        </w:rPr>
        <w:t>originalidad</w:t>
      </w:r>
      <w:r>
        <w:rPr>
          <w:rFonts w:ascii="Calibri" w:hAnsi="Calibri"/>
          <w:b w:val="0"/>
          <w:color w:val="2B2B2B"/>
          <w:sz w:val="22"/>
        </w:rPr>
        <w:t xml:space="preserve"> (qué tan infrecuentes) y </w:t>
      </w:r>
      <w:r>
        <w:rPr>
          <w:rFonts w:ascii="Calibri" w:hAnsi="Calibri"/>
          <w:b/>
          <w:color w:val="2B2B2B"/>
          <w:sz w:val="22"/>
        </w:rPr>
        <w:t>elaboración</w:t>
      </w:r>
      <w:r>
        <w:rPr>
          <w:rFonts w:ascii="Calibri" w:hAnsi="Calibri"/>
          <w:b w:val="0"/>
          <w:color w:val="2B2B2B"/>
          <w:sz w:val="22"/>
        </w:rPr>
        <w:t xml:space="preserve"> (cuánto detalle). Sirven como criterio propio: si sus diez ideas son diez variaciones de la misma, tiene fluidez y no tiene flexibilidad.</w:t>
      </w:r>
    </w:p>
    <w:p>
      <w:r>
        <w:rPr>
          <w:rFonts w:ascii="Calibri" w:hAnsi="Calibri"/>
          <w:b w:val="0"/>
          <w:color w:val="2B2B2B"/>
          <w:sz w:val="22"/>
        </w:rPr>
        <w:t xml:space="preserve">El principio operativo que hace posible divergir es el </w:t>
      </w:r>
      <w:r>
        <w:rPr>
          <w:rFonts w:ascii="Calibri" w:hAnsi="Calibri"/>
          <w:b/>
          <w:color w:val="2B2B2B"/>
          <w:sz w:val="22"/>
        </w:rPr>
        <w:t>aplazamiento del juicio</w:t>
      </w:r>
      <w:r>
        <w:rPr>
          <w:rFonts w:ascii="Calibri" w:hAnsi="Calibri"/>
          <w:b w:val="0"/>
          <w:color w:val="2B2B2B"/>
          <w:sz w:val="22"/>
        </w:rPr>
        <w:t>: separar en el tiempo el momento de generar del momento de evaluar (Osborn, 1953). De Bono, también en la bibliografía del Syllabus, lo trabaja como pensamiento lateral: moverse de lado en lugar de profundizar en la primera dirección (De Bono, 1992).</w:t>
      </w:r>
    </w:p>
    <w:p>
      <w:pPr>
        <w:spacing w:before="200" w:after="60"/>
      </w:pPr>
      <w:r>
        <w:rPr>
          <w:rFonts w:ascii="Calibri" w:hAnsi="Calibri"/>
          <w:b/>
          <w:color w:val="007433"/>
          <w:sz w:val="32"/>
        </w:rPr>
        <w:t>4.2 Los ensanchadores, uno por familia de bloqueador</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Familia</w:t>
            </w:r>
          </w:p>
        </w:tc>
        <w:tc>
          <w:tcPr>
            <w:tcW w:type="dxa" w:w="3264"/>
            <w:shd w:val="clear" w:fill="0C2340"/>
            <w:shd w:val="clear" w:fill="0C2340"/>
          </w:tcPr>
          <w:p>
            <w:r>
              <w:rPr>
                <w:rFonts w:ascii="Calibri" w:hAnsi="Calibri"/>
                <w:b/>
                <w:color w:val="FFFFFF"/>
              </w:rPr>
            </w:r>
            <w:r>
              <w:rPr>
                <w:rFonts w:ascii="Calibri" w:hAnsi="Calibri"/>
                <w:b/>
                <w:color w:val="FFFFFF"/>
                <w:sz w:val="21"/>
              </w:rPr>
              <w:t>Bloqueador (cierra)</w:t>
            </w:r>
          </w:p>
        </w:tc>
        <w:tc>
          <w:tcPr>
            <w:tcW w:type="dxa" w:w="3264"/>
            <w:shd w:val="clear" w:fill="0C2340"/>
            <w:shd w:val="clear" w:fill="0C2340"/>
          </w:tcPr>
          <w:p>
            <w:r>
              <w:rPr>
                <w:rFonts w:ascii="Calibri" w:hAnsi="Calibri"/>
                <w:b/>
                <w:color w:val="FFFFFF"/>
              </w:rPr>
            </w:r>
            <w:r>
              <w:rPr>
                <w:rFonts w:ascii="Calibri" w:hAnsi="Calibri"/>
                <w:b/>
                <w:color w:val="FFFFFF"/>
                <w:sz w:val="21"/>
              </w:rPr>
              <w:t>Ensanchador (abre) — con verbo, hora y persona</w:t>
            </w:r>
          </w:p>
        </w:tc>
      </w:tr>
      <w:tr>
        <w:tc>
          <w:tcPr>
            <w:tcW w:type="dxa" w:w="3264"/>
          </w:tcPr>
          <w:p>
            <w:r/>
            <w:r>
              <w:rPr>
                <w:rFonts w:ascii="Calibri" w:hAnsi="Calibri"/>
                <w:b w:val="0"/>
                <w:color w:val="2B2B2B"/>
                <w:sz w:val="20"/>
              </w:rPr>
              <w:t>Perceptual</w:t>
            </w:r>
          </w:p>
        </w:tc>
        <w:tc>
          <w:tcPr>
            <w:tcW w:type="dxa" w:w="3264"/>
          </w:tcPr>
          <w:p>
            <w:r/>
            <w:r>
              <w:rPr>
                <w:rFonts w:ascii="Calibri" w:hAnsi="Calibri"/>
                <w:b w:val="0"/>
                <w:color w:val="2B2B2B"/>
                <w:sz w:val="20"/>
              </w:rPr>
              <w:t>Definir el problema con la solución dentro</w:t>
            </w:r>
          </w:p>
        </w:tc>
        <w:tc>
          <w:tcPr>
            <w:tcW w:type="dxa" w:w="3264"/>
          </w:tcPr>
          <w:p>
            <w:r/>
            <w:r>
              <w:rPr>
                <w:rFonts w:ascii="Calibri" w:hAnsi="Calibri"/>
                <w:b w:val="0"/>
                <w:color w:val="2B2B2B"/>
                <w:sz w:val="20"/>
              </w:rPr>
              <w:t xml:space="preserve">Reescribir el problema </w:t>
            </w:r>
            <w:r>
              <w:rPr>
                <w:rFonts w:ascii="Calibri" w:hAnsi="Calibri"/>
                <w:b/>
                <w:color w:val="2B2B2B"/>
                <w:sz w:val="20"/>
              </w:rPr>
              <w:t>cinco veces</w:t>
            </w:r>
            <w:r>
              <w:rPr>
                <w:rFonts w:ascii="Calibri" w:hAnsi="Calibri"/>
                <w:b w:val="0"/>
                <w:color w:val="2B2B2B"/>
                <w:sz w:val="20"/>
              </w:rPr>
              <w:t xml:space="preserve"> cambiando el sujeto afectado; ir al sitio y observar 20 minutos sin proponer nada</w:t>
            </w:r>
          </w:p>
        </w:tc>
      </w:tr>
      <w:tr>
        <w:tc>
          <w:tcPr>
            <w:tcW w:type="dxa" w:w="3264"/>
            <w:shd w:val="clear" w:fill="F5F7F5"/>
            <w:shd w:val="clear" w:fill="F5F7F5"/>
          </w:tcPr>
          <w:p>
            <w:r/>
            <w:r>
              <w:rPr>
                <w:rFonts w:ascii="Calibri" w:hAnsi="Calibri"/>
                <w:b w:val="0"/>
                <w:color w:val="2B2B2B"/>
                <w:sz w:val="20"/>
              </w:rPr>
              <w:t>Emocional</w:t>
            </w:r>
          </w:p>
        </w:tc>
        <w:tc>
          <w:tcPr>
            <w:tcW w:type="dxa" w:w="3264"/>
            <w:shd w:val="clear" w:fill="F5F7F5"/>
            <w:shd w:val="clear" w:fill="F5F7F5"/>
          </w:tcPr>
          <w:p>
            <w:r/>
            <w:r>
              <w:rPr>
                <w:rFonts w:ascii="Calibri" w:hAnsi="Calibri"/>
                <w:b w:val="0"/>
                <w:color w:val="2B2B2B"/>
                <w:sz w:val="20"/>
              </w:rPr>
              <w:t>Juzgar la idea antes de terminar de escribirla</w:t>
            </w:r>
          </w:p>
        </w:tc>
        <w:tc>
          <w:tcPr>
            <w:tcW w:type="dxa" w:w="3264"/>
            <w:shd w:val="clear" w:fill="F5F7F5"/>
            <w:shd w:val="clear" w:fill="F5F7F5"/>
          </w:tcPr>
          <w:p>
            <w:r/>
            <w:r>
              <w:rPr>
                <w:rFonts w:ascii="Calibri" w:hAnsi="Calibri"/>
                <w:b w:val="0"/>
                <w:color w:val="2B2B2B"/>
                <w:sz w:val="20"/>
              </w:rPr>
              <w:t>Fijar una regla de «10 ideas antes de la primera crítica»; escribir la idea incompleta en el canal del equipo el mismo día</w:t>
            </w:r>
          </w:p>
        </w:tc>
      </w:tr>
      <w:tr>
        <w:tc>
          <w:tcPr>
            <w:tcW w:type="dxa" w:w="3264"/>
          </w:tcPr>
          <w:p>
            <w:r/>
            <w:r>
              <w:rPr>
                <w:rFonts w:ascii="Calibri" w:hAnsi="Calibri"/>
                <w:b w:val="0"/>
                <w:color w:val="2B2B2B"/>
                <w:sz w:val="20"/>
              </w:rPr>
              <w:t>Cultural</w:t>
            </w:r>
          </w:p>
        </w:tc>
        <w:tc>
          <w:tcPr>
            <w:tcW w:type="dxa" w:w="3264"/>
          </w:tcPr>
          <w:p>
            <w:r/>
            <w:r>
              <w:rPr>
                <w:rFonts w:ascii="Calibri" w:hAnsi="Calibri"/>
                <w:b w:val="0"/>
                <w:color w:val="2B2B2B"/>
                <w:sz w:val="20"/>
              </w:rPr>
              <w:t>«Eso no es serio / no es de ingeniería»</w:t>
            </w:r>
          </w:p>
        </w:tc>
        <w:tc>
          <w:tcPr>
            <w:tcW w:type="dxa" w:w="3264"/>
          </w:tcPr>
          <w:p>
            <w:r/>
            <w:r>
              <w:rPr>
                <w:rFonts w:ascii="Calibri" w:hAnsi="Calibri"/>
                <w:b w:val="0"/>
                <w:color w:val="2B2B2B"/>
                <w:sz w:val="20"/>
              </w:rPr>
              <w:t>Hacer el prototipo más barato posible (cartón, papel, hoja de cálculo) y llevarlo, no describirlo</w:t>
            </w:r>
          </w:p>
        </w:tc>
      </w:tr>
      <w:tr>
        <w:tc>
          <w:tcPr>
            <w:tcW w:type="dxa" w:w="3264"/>
            <w:shd w:val="clear" w:fill="F5F7F5"/>
            <w:shd w:val="clear" w:fill="F5F7F5"/>
          </w:tcPr>
          <w:p>
            <w:r/>
            <w:r>
              <w:rPr>
                <w:rFonts w:ascii="Calibri" w:hAnsi="Calibri"/>
                <w:b w:val="0"/>
                <w:color w:val="2B2B2B"/>
                <w:sz w:val="20"/>
              </w:rPr>
              <w:t>De entorno</w:t>
            </w:r>
          </w:p>
        </w:tc>
        <w:tc>
          <w:tcPr>
            <w:tcW w:type="dxa" w:w="3264"/>
            <w:shd w:val="clear" w:fill="F5F7F5"/>
            <w:shd w:val="clear" w:fill="F5F7F5"/>
          </w:tcPr>
          <w:p>
            <w:r/>
            <w:r>
              <w:rPr>
                <w:rFonts w:ascii="Calibri" w:hAnsi="Calibri"/>
                <w:b w:val="0"/>
                <w:color w:val="2B2B2B"/>
                <w:sz w:val="20"/>
              </w:rPr>
              <w:t>Interrupción permanente, cero tiempo protegido</w:t>
            </w:r>
          </w:p>
        </w:tc>
        <w:tc>
          <w:tcPr>
            <w:tcW w:type="dxa" w:w="3264"/>
            <w:shd w:val="clear" w:fill="F5F7F5"/>
            <w:shd w:val="clear" w:fill="F5F7F5"/>
          </w:tcPr>
          <w:p>
            <w:r/>
            <w:r>
              <w:rPr>
                <w:rFonts w:ascii="Calibri" w:hAnsi="Calibri"/>
                <w:b w:val="0"/>
                <w:color w:val="2B2B2B"/>
                <w:sz w:val="20"/>
              </w:rPr>
              <w:t xml:space="preserve">Bloquear </w:t>
            </w:r>
            <w:r>
              <w:rPr>
                <w:rFonts w:ascii="Calibri" w:hAnsi="Calibri"/>
                <w:b/>
                <w:color w:val="2B2B2B"/>
                <w:sz w:val="20"/>
              </w:rPr>
              <w:t>90 minutos</w:t>
            </w:r>
            <w:r>
              <w:rPr>
                <w:rFonts w:ascii="Calibri" w:hAnsi="Calibri"/>
                <w:b w:val="0"/>
                <w:color w:val="2B2B2B"/>
                <w:sz w:val="20"/>
              </w:rPr>
              <w:t xml:space="preserve"> en el calendario, mismo día y hora cada semana; conseguir </w:t>
            </w:r>
            <w:r>
              <w:rPr>
                <w:rFonts w:ascii="Calibri" w:hAnsi="Calibri"/>
                <w:b/>
                <w:color w:val="2B2B2B"/>
                <w:sz w:val="20"/>
              </w:rPr>
              <w:t>una</w:t>
            </w:r>
            <w:r>
              <w:rPr>
                <w:rFonts w:ascii="Calibri" w:hAnsi="Calibri"/>
                <w:b w:val="0"/>
                <w:color w:val="2B2B2B"/>
                <w:sz w:val="20"/>
              </w:rPr>
              <w:t xml:space="preserve"> persona con quien contrastar</w:t>
            </w:r>
          </w:p>
        </w:tc>
      </w:tr>
      <w:tr>
        <w:tc>
          <w:tcPr>
            <w:tcW w:type="dxa" w:w="3264"/>
          </w:tcPr>
          <w:p>
            <w:r/>
            <w:r>
              <w:rPr>
                <w:rFonts w:ascii="Calibri" w:hAnsi="Calibri"/>
                <w:b w:val="0"/>
                <w:color w:val="2B2B2B"/>
                <w:sz w:val="20"/>
              </w:rPr>
              <w:t>De expresión</w:t>
            </w:r>
          </w:p>
        </w:tc>
        <w:tc>
          <w:tcPr>
            <w:tcW w:type="dxa" w:w="3264"/>
          </w:tcPr>
          <w:p>
            <w:r/>
            <w:r>
              <w:rPr>
                <w:rFonts w:ascii="Calibri" w:hAnsi="Calibri"/>
                <w:b w:val="0"/>
                <w:color w:val="2B2B2B"/>
                <w:sz w:val="20"/>
              </w:rPr>
              <w:t>La idea no sale del párrafo de correo</w:t>
            </w:r>
          </w:p>
        </w:tc>
        <w:tc>
          <w:tcPr>
            <w:tcW w:type="dxa" w:w="3264"/>
          </w:tcPr>
          <w:p>
            <w:r/>
            <w:r>
              <w:rPr>
                <w:rFonts w:ascii="Calibri" w:hAnsi="Calibri"/>
                <w:b w:val="0"/>
                <w:color w:val="2B2B2B"/>
                <w:sz w:val="20"/>
              </w:rPr>
              <w:t xml:space="preserve">Obligarse a un </w:t>
            </w:r>
            <w:r>
              <w:rPr>
                <w:rFonts w:ascii="Calibri" w:hAnsi="Calibri"/>
                <w:b/>
                <w:color w:val="2B2B2B"/>
                <w:sz w:val="20"/>
              </w:rPr>
              <w:t>segundo lenguaje</w:t>
            </w:r>
            <w:r>
              <w:rPr>
                <w:rFonts w:ascii="Calibri" w:hAnsi="Calibri"/>
                <w:b w:val="0"/>
                <w:color w:val="2B2B2B"/>
                <w:sz w:val="20"/>
              </w:rPr>
              <w:t>: diagrama, boceto, maqueta, número, analogía</w:t>
            </w:r>
          </w:p>
        </w:tc>
      </w:tr>
    </w:tbl>
    <w:p/>
    <w:p>
      <w:pPr>
        <w:spacing w:before="200" w:after="60"/>
      </w:pPr>
      <w:r>
        <w:rPr>
          <w:rFonts w:ascii="Calibri" w:hAnsi="Calibri"/>
          <w:b/>
          <w:color w:val="007433"/>
          <w:sz w:val="32"/>
        </w:rPr>
        <w:t>4.3 El ensanchador con más evidencia detrás: la motivación intrínseca</w:t>
      </w:r>
    </w:p>
    <w:p>
      <w:r>
        <w:rPr>
          <w:rFonts w:ascii="Calibri" w:hAnsi="Calibri"/>
          <w:b w:val="0"/>
          <w:color w:val="2B2B2B"/>
          <w:sz w:val="22"/>
        </w:rPr>
        <w:t xml:space="preserve">Amabile y su grupo sostienen el </w:t>
      </w:r>
      <w:r>
        <w:rPr>
          <w:rFonts w:ascii="Calibri" w:hAnsi="Calibri"/>
          <w:b/>
          <w:color w:val="2B2B2B"/>
          <w:sz w:val="22"/>
        </w:rPr>
        <w:t>principio de motivación intrínseca de la creatividad</w:t>
      </w:r>
      <w:r>
        <w:rPr>
          <w:rFonts w:ascii="Calibri" w:hAnsi="Calibri"/>
          <w:b w:val="0"/>
          <w:color w:val="2B2B2B"/>
          <w:sz w:val="22"/>
        </w:rPr>
        <w:t>: la gente es más creativa cuando la mueve el interés, el reto y la satisfacción del trabajo mismo que cuando la mueve una presión externa (Amabile et al., 1996). Y da Costa et al. (2015) lo confirman como factor personal asociado de manera consistente a la creatividad.</w:t>
      </w:r>
    </w:p>
    <w:p>
      <w:r>
        <w:rPr>
          <w:rFonts w:ascii="Calibri" w:hAnsi="Calibri"/>
          <w:b w:val="0"/>
          <w:color w:val="2B2B2B"/>
          <w:sz w:val="22"/>
        </w:rPr>
        <w:t xml:space="preserve">Traducción práctica para su Propuesta de Innovación: </w:t>
      </w:r>
      <w:r>
        <w:rPr>
          <w:rFonts w:ascii="Calibri" w:hAnsi="Calibri"/>
          <w:b/>
          <w:color w:val="2B2B2B"/>
          <w:sz w:val="22"/>
        </w:rPr>
        <w:t>elija un problema que le moleste de verdad.</w:t>
      </w:r>
      <w:r>
        <w:rPr>
          <w:rFonts w:ascii="Calibri" w:hAnsi="Calibri"/>
          <w:b w:val="0"/>
          <w:color w:val="2B2B2B"/>
          <w:sz w:val="22"/>
        </w:rPr>
        <w:t xml:space="preserve"> No es un consejo blando; es el ensanchador con mejor respaldo empírico de esta lista. Un problema elegido por conveniencia se le va a apagar en la semana tres, y con él la propuesta entera.</w:t>
      </w:r>
    </w:p>
    <w:p>
      <w:pPr>
        <w:spacing w:before="200" w:after="60"/>
      </w:pPr>
      <w:r>
        <w:rPr>
          <w:rFonts w:ascii="Calibri" w:hAnsi="Calibri"/>
          <w:b/>
          <w:color w:val="007433"/>
          <w:sz w:val="32"/>
        </w:rPr>
        <w:t>5. Autodiagnóstico (10 minutos, para usted, no se entrega)</w:t>
      </w:r>
    </w:p>
    <w:p>
      <w:r>
        <w:rPr>
          <w:rFonts w:ascii="Calibri" w:hAnsi="Calibri"/>
          <w:b w:val="0"/>
          <w:color w:val="2B2B2B"/>
          <w:sz w:val="22"/>
        </w:rPr>
        <w:t xml:space="preserve">Responda </w:t>
      </w:r>
      <w:r>
        <w:rPr>
          <w:rFonts w:ascii="Calibri" w:hAnsi="Calibri"/>
          <w:b/>
          <w:color w:val="2B2B2B"/>
          <w:sz w:val="22"/>
        </w:rPr>
        <w:t>Sí / No</w:t>
      </w:r>
      <w:r>
        <w:rPr>
          <w:rFonts w:ascii="Calibri" w:hAnsi="Calibri"/>
          <w:b w:val="0"/>
          <w:color w:val="2B2B2B"/>
          <w:sz w:val="22"/>
        </w:rPr>
        <w:t xml:space="preserve"> pensando en las últimas dos semanas de su trabajo, estudio o proyecto. No hay respuestas correctas: hay respuestas suyas.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w:t>
            </w:r>
          </w:p>
        </w:tc>
        <w:tc>
          <w:tcPr>
            <w:tcW w:type="dxa" w:w="2448"/>
            <w:shd w:val="clear" w:fill="0C2340"/>
            <w:shd w:val="clear" w:fill="0C2340"/>
          </w:tcPr>
          <w:p>
            <w:r>
              <w:rPr>
                <w:rFonts w:ascii="Calibri" w:hAnsi="Calibri"/>
                <w:b/>
                <w:color w:val="FFFFFF"/>
              </w:rPr>
            </w:r>
            <w:r>
              <w:rPr>
                <w:rFonts w:ascii="Calibri" w:hAnsi="Calibri"/>
                <w:b/>
                <w:color w:val="FFFFFF"/>
                <w:sz w:val="21"/>
              </w:rPr>
              <w:t>Enunciado</w:t>
            </w:r>
          </w:p>
        </w:tc>
        <w:tc>
          <w:tcPr>
            <w:tcW w:type="dxa" w:w="2448"/>
            <w:shd w:val="clear" w:fill="0C2340"/>
            <w:shd w:val="clear" w:fill="0C2340"/>
          </w:tcPr>
          <w:p>
            <w:r>
              <w:rPr>
                <w:rFonts w:ascii="Calibri" w:hAnsi="Calibri"/>
                <w:b/>
                <w:color w:val="FFFFFF"/>
              </w:rPr>
            </w:r>
            <w:r>
              <w:rPr>
                <w:rFonts w:ascii="Calibri" w:hAnsi="Calibri"/>
                <w:b/>
                <w:color w:val="FFFFFF"/>
                <w:sz w:val="21"/>
              </w:rPr>
              <w:t>Familia</w:t>
            </w:r>
          </w:p>
        </w:tc>
        <w:tc>
          <w:tcPr>
            <w:tcW w:type="dxa" w:w="2448"/>
            <w:shd w:val="clear" w:fill="0C2340"/>
            <w:shd w:val="clear" w:fill="0C2340"/>
          </w:tcPr>
          <w:p>
            <w:r>
              <w:rPr>
                <w:rFonts w:ascii="Calibri" w:hAnsi="Calibri"/>
                <w:b/>
                <w:color w:val="FFFFFF"/>
              </w:rPr>
            </w:r>
            <w:r>
              <w:rPr>
                <w:rFonts w:ascii="Calibri" w:hAnsi="Calibri"/>
                <w:b/>
                <w:color w:val="FFFFFF"/>
                <w:sz w:val="21"/>
              </w:rPr>
              <w:t>Sí / No</w:t>
            </w:r>
          </w:p>
        </w:tc>
      </w:tr>
      <w:tr>
        <w:tc>
          <w:tcPr>
            <w:tcW w:type="dxa" w:w="2448"/>
          </w:tcPr>
          <w:p>
            <w:r/>
            <w:r>
              <w:rPr>
                <w:rFonts w:ascii="Calibri" w:hAnsi="Calibri"/>
                <w:b w:val="0"/>
                <w:color w:val="2B2B2B"/>
                <w:sz w:val="20"/>
              </w:rPr>
              <w:t>1</w:t>
            </w:r>
          </w:p>
        </w:tc>
        <w:tc>
          <w:tcPr>
            <w:tcW w:type="dxa" w:w="2448"/>
          </w:tcPr>
          <w:p>
            <w:r/>
            <w:r>
              <w:rPr>
                <w:rFonts w:ascii="Calibri" w:hAnsi="Calibri"/>
                <w:b w:val="0"/>
                <w:color w:val="2B2B2B"/>
                <w:sz w:val="20"/>
              </w:rPr>
              <w:t>Cuando enuncio el problema, mi enunciado ya trae la solución adentro</w:t>
            </w:r>
          </w:p>
        </w:tc>
        <w:tc>
          <w:tcPr>
            <w:tcW w:type="dxa" w:w="2448"/>
          </w:tcPr>
          <w:p>
            <w:r/>
            <w:r>
              <w:rPr>
                <w:rFonts w:ascii="Calibri" w:hAnsi="Calibri"/>
                <w:b w:val="0"/>
                <w:color w:val="2B2B2B"/>
                <w:sz w:val="20"/>
              </w:rPr>
              <w:t>Perceptual</w:t>
            </w:r>
          </w:p>
        </w:tc>
        <w:tc>
          <w:tcPr>
            <w:tcW w:type="dxa" w:w="2448"/>
          </w:tcPr>
          <w:p>
            <w:r/>
          </w:p>
        </w:tc>
      </w:tr>
      <w:tr>
        <w:tc>
          <w:tcPr>
            <w:tcW w:type="dxa" w:w="2448"/>
            <w:shd w:val="clear" w:fill="F5F7F5"/>
            <w:shd w:val="clear" w:fill="F5F7F5"/>
          </w:tcPr>
          <w:p>
            <w:r/>
            <w:r>
              <w:rPr>
                <w:rFonts w:ascii="Calibri" w:hAnsi="Calibri"/>
                <w:b w:val="0"/>
                <w:color w:val="2B2B2B"/>
                <w:sz w:val="20"/>
              </w:rPr>
              <w:t>2</w:t>
            </w:r>
          </w:p>
        </w:tc>
        <w:tc>
          <w:tcPr>
            <w:tcW w:type="dxa" w:w="2448"/>
            <w:shd w:val="clear" w:fill="F5F7F5"/>
            <w:shd w:val="clear" w:fill="F5F7F5"/>
          </w:tcPr>
          <w:p>
            <w:r/>
            <w:r>
              <w:rPr>
                <w:rFonts w:ascii="Calibri" w:hAnsi="Calibri"/>
                <w:b w:val="0"/>
                <w:color w:val="2B2B2B"/>
                <w:sz w:val="20"/>
              </w:rPr>
              <w:t>Doy por ciertos datos del problema que nadie verificó en el sitio</w:t>
            </w:r>
          </w:p>
        </w:tc>
        <w:tc>
          <w:tcPr>
            <w:tcW w:type="dxa" w:w="2448"/>
            <w:shd w:val="clear" w:fill="F5F7F5"/>
            <w:shd w:val="clear" w:fill="F5F7F5"/>
          </w:tcPr>
          <w:p>
            <w:r/>
            <w:r>
              <w:rPr>
                <w:rFonts w:ascii="Calibri" w:hAnsi="Calibri"/>
                <w:b w:val="0"/>
                <w:color w:val="2B2B2B"/>
                <w:sz w:val="20"/>
              </w:rPr>
              <w:t>Perceptual</w:t>
            </w:r>
          </w:p>
        </w:tc>
        <w:tc>
          <w:tcPr>
            <w:tcW w:type="dxa" w:w="2448"/>
            <w:shd w:val="clear" w:fill="F5F7F5"/>
            <w:shd w:val="clear" w:fill="F5F7F5"/>
          </w:tcPr>
          <w:p>
            <w:r/>
          </w:p>
        </w:tc>
      </w:tr>
      <w:tr>
        <w:tc>
          <w:tcPr>
            <w:tcW w:type="dxa" w:w="2448"/>
          </w:tcPr>
          <w:p>
            <w:r/>
            <w:r>
              <w:rPr>
                <w:rFonts w:ascii="Calibri" w:hAnsi="Calibri"/>
                <w:b w:val="0"/>
                <w:color w:val="2B2B2B"/>
                <w:sz w:val="20"/>
              </w:rPr>
              <w:t>3</w:t>
            </w:r>
          </w:p>
        </w:tc>
        <w:tc>
          <w:tcPr>
            <w:tcW w:type="dxa" w:w="2448"/>
          </w:tcPr>
          <w:p>
            <w:r/>
            <w:r>
              <w:rPr>
                <w:rFonts w:ascii="Calibri" w:hAnsi="Calibri"/>
                <w:b w:val="0"/>
                <w:color w:val="2B2B2B"/>
                <w:sz w:val="20"/>
              </w:rPr>
              <w:t>Tengo ideas que no comparto porque otros llevan más años</w:t>
            </w:r>
          </w:p>
        </w:tc>
        <w:tc>
          <w:tcPr>
            <w:tcW w:type="dxa" w:w="2448"/>
          </w:tcPr>
          <w:p>
            <w:r/>
            <w:r>
              <w:rPr>
                <w:rFonts w:ascii="Calibri" w:hAnsi="Calibri"/>
                <w:b w:val="0"/>
                <w:color w:val="2B2B2B"/>
                <w:sz w:val="20"/>
              </w:rPr>
              <w:t>Emocional</w:t>
            </w:r>
          </w:p>
        </w:tc>
        <w:tc>
          <w:tcPr>
            <w:tcW w:type="dxa" w:w="2448"/>
          </w:tcPr>
          <w:p>
            <w:r/>
          </w:p>
        </w:tc>
      </w:tr>
      <w:tr>
        <w:tc>
          <w:tcPr>
            <w:tcW w:type="dxa" w:w="2448"/>
            <w:shd w:val="clear" w:fill="F5F7F5"/>
            <w:shd w:val="clear" w:fill="F5F7F5"/>
          </w:tcPr>
          <w:p>
            <w:r/>
            <w:r>
              <w:rPr>
                <w:rFonts w:ascii="Calibri" w:hAnsi="Calibri"/>
                <w:b w:val="0"/>
                <w:color w:val="2B2B2B"/>
                <w:sz w:val="20"/>
              </w:rPr>
              <w:t>4</w:t>
            </w:r>
          </w:p>
        </w:tc>
        <w:tc>
          <w:tcPr>
            <w:tcW w:type="dxa" w:w="2448"/>
            <w:shd w:val="clear" w:fill="F5F7F5"/>
            <w:shd w:val="clear" w:fill="F5F7F5"/>
          </w:tcPr>
          <w:p>
            <w:r/>
            <w:r>
              <w:rPr>
                <w:rFonts w:ascii="Calibri" w:hAnsi="Calibri"/>
                <w:b w:val="0"/>
                <w:color w:val="2B2B2B"/>
                <w:sz w:val="20"/>
              </w:rPr>
              <w:t>Descarto mis ideas antes de terminar de escribirlas</w:t>
            </w:r>
          </w:p>
        </w:tc>
        <w:tc>
          <w:tcPr>
            <w:tcW w:type="dxa" w:w="2448"/>
            <w:shd w:val="clear" w:fill="F5F7F5"/>
            <w:shd w:val="clear" w:fill="F5F7F5"/>
          </w:tcPr>
          <w:p>
            <w:r/>
            <w:r>
              <w:rPr>
                <w:rFonts w:ascii="Calibri" w:hAnsi="Calibri"/>
                <w:b w:val="0"/>
                <w:color w:val="2B2B2B"/>
                <w:sz w:val="20"/>
              </w:rPr>
              <w:t>Emocional</w:t>
            </w:r>
          </w:p>
        </w:tc>
        <w:tc>
          <w:tcPr>
            <w:tcW w:type="dxa" w:w="2448"/>
            <w:shd w:val="clear" w:fill="F5F7F5"/>
            <w:shd w:val="clear" w:fill="F5F7F5"/>
          </w:tcPr>
          <w:p>
            <w:r/>
          </w:p>
        </w:tc>
      </w:tr>
      <w:tr>
        <w:tc>
          <w:tcPr>
            <w:tcW w:type="dxa" w:w="2448"/>
          </w:tcPr>
          <w:p>
            <w:r/>
            <w:r>
              <w:rPr>
                <w:rFonts w:ascii="Calibri" w:hAnsi="Calibri"/>
                <w:b w:val="0"/>
                <w:color w:val="2B2B2B"/>
                <w:sz w:val="20"/>
              </w:rPr>
              <w:t>5</w:t>
            </w:r>
          </w:p>
        </w:tc>
        <w:tc>
          <w:tcPr>
            <w:tcW w:type="dxa" w:w="2448"/>
          </w:tcPr>
          <w:p>
            <w:r/>
            <w:r>
              <w:rPr>
                <w:rFonts w:ascii="Calibri" w:hAnsi="Calibri"/>
                <w:b w:val="0"/>
                <w:color w:val="2B2B2B"/>
                <w:sz w:val="20"/>
              </w:rPr>
              <w:t>Me incomoda tanto la ambigüedad que cierro el problema antes de entenderlo</w:t>
            </w:r>
          </w:p>
        </w:tc>
        <w:tc>
          <w:tcPr>
            <w:tcW w:type="dxa" w:w="2448"/>
          </w:tcPr>
          <w:p>
            <w:r/>
            <w:r>
              <w:rPr>
                <w:rFonts w:ascii="Calibri" w:hAnsi="Calibri"/>
                <w:b w:val="0"/>
                <w:color w:val="2B2B2B"/>
                <w:sz w:val="20"/>
              </w:rPr>
              <w:t>Emocional</w:t>
            </w:r>
          </w:p>
        </w:tc>
        <w:tc>
          <w:tcPr>
            <w:tcW w:type="dxa" w:w="2448"/>
          </w:tcPr>
          <w:p>
            <w:r/>
          </w:p>
        </w:tc>
      </w:tr>
      <w:tr>
        <w:tc>
          <w:tcPr>
            <w:tcW w:type="dxa" w:w="2448"/>
            <w:shd w:val="clear" w:fill="F5F7F5"/>
            <w:shd w:val="clear" w:fill="F5F7F5"/>
          </w:tcPr>
          <w:p>
            <w:r/>
            <w:r>
              <w:rPr>
                <w:rFonts w:ascii="Calibri" w:hAnsi="Calibri"/>
                <w:b w:val="0"/>
                <w:color w:val="2B2B2B"/>
                <w:sz w:val="20"/>
              </w:rPr>
              <w:t>6</w:t>
            </w:r>
          </w:p>
        </w:tc>
        <w:tc>
          <w:tcPr>
            <w:tcW w:type="dxa" w:w="2448"/>
            <w:shd w:val="clear" w:fill="F5F7F5"/>
            <w:shd w:val="clear" w:fill="F5F7F5"/>
          </w:tcPr>
          <w:p>
            <w:r/>
            <w:r>
              <w:rPr>
                <w:rFonts w:ascii="Calibri" w:hAnsi="Calibri"/>
                <w:b w:val="0"/>
                <w:color w:val="2B2B2B"/>
                <w:sz w:val="20"/>
              </w:rPr>
              <w:t>Me da pena proponer algo que pueda parecer poco técnico</w:t>
            </w:r>
          </w:p>
        </w:tc>
        <w:tc>
          <w:tcPr>
            <w:tcW w:type="dxa" w:w="2448"/>
            <w:shd w:val="clear" w:fill="F5F7F5"/>
            <w:shd w:val="clear" w:fill="F5F7F5"/>
          </w:tcPr>
          <w:p>
            <w:r/>
            <w:r>
              <w:rPr>
                <w:rFonts w:ascii="Calibri" w:hAnsi="Calibri"/>
                <w:b w:val="0"/>
                <w:color w:val="2B2B2B"/>
                <w:sz w:val="20"/>
              </w:rPr>
              <w:t>Cultural</w:t>
            </w:r>
          </w:p>
        </w:tc>
        <w:tc>
          <w:tcPr>
            <w:tcW w:type="dxa" w:w="2448"/>
            <w:shd w:val="clear" w:fill="F5F7F5"/>
            <w:shd w:val="clear" w:fill="F5F7F5"/>
          </w:tcPr>
          <w:p>
            <w:r/>
          </w:p>
        </w:tc>
      </w:tr>
      <w:tr>
        <w:tc>
          <w:tcPr>
            <w:tcW w:type="dxa" w:w="2448"/>
          </w:tcPr>
          <w:p>
            <w:r/>
            <w:r>
              <w:rPr>
                <w:rFonts w:ascii="Calibri" w:hAnsi="Calibri"/>
                <w:b w:val="0"/>
                <w:color w:val="2B2B2B"/>
                <w:sz w:val="20"/>
              </w:rPr>
              <w:t>7</w:t>
            </w:r>
          </w:p>
        </w:tc>
        <w:tc>
          <w:tcPr>
            <w:tcW w:type="dxa" w:w="2448"/>
          </w:tcPr>
          <w:p>
            <w:r/>
            <w:r>
              <w:rPr>
                <w:rFonts w:ascii="Calibri" w:hAnsi="Calibri"/>
                <w:b w:val="0"/>
                <w:color w:val="2B2B2B"/>
                <w:sz w:val="20"/>
              </w:rPr>
              <w:t>En mi grupo, preguntar se lee como no saber</w:t>
            </w:r>
          </w:p>
        </w:tc>
        <w:tc>
          <w:tcPr>
            <w:tcW w:type="dxa" w:w="2448"/>
          </w:tcPr>
          <w:p>
            <w:r/>
            <w:r>
              <w:rPr>
                <w:rFonts w:ascii="Calibri" w:hAnsi="Calibri"/>
                <w:b w:val="0"/>
                <w:color w:val="2B2B2B"/>
                <w:sz w:val="20"/>
              </w:rPr>
              <w:t>Cultural</w:t>
            </w:r>
          </w:p>
        </w:tc>
        <w:tc>
          <w:tcPr>
            <w:tcW w:type="dxa" w:w="2448"/>
          </w:tcPr>
          <w:p>
            <w:r/>
          </w:p>
        </w:tc>
      </w:tr>
      <w:tr>
        <w:tc>
          <w:tcPr>
            <w:tcW w:type="dxa" w:w="2448"/>
            <w:shd w:val="clear" w:fill="F5F7F5"/>
            <w:shd w:val="clear" w:fill="F5F7F5"/>
          </w:tcPr>
          <w:p>
            <w:r/>
            <w:r>
              <w:rPr>
                <w:rFonts w:ascii="Calibri" w:hAnsi="Calibri"/>
                <w:b w:val="0"/>
                <w:color w:val="2B2B2B"/>
                <w:sz w:val="20"/>
              </w:rPr>
              <w:t>8</w:t>
            </w:r>
          </w:p>
        </w:tc>
        <w:tc>
          <w:tcPr>
            <w:tcW w:type="dxa" w:w="2448"/>
            <w:shd w:val="clear" w:fill="F5F7F5"/>
            <w:shd w:val="clear" w:fill="F5F7F5"/>
          </w:tcPr>
          <w:p>
            <w:r/>
            <w:r>
              <w:rPr>
                <w:rFonts w:ascii="Calibri" w:hAnsi="Calibri"/>
                <w:b w:val="0"/>
                <w:color w:val="2B2B2B"/>
                <w:sz w:val="20"/>
              </w:rPr>
              <w:t>No tengo en la semana ni un bloque sin interrupciones para pensar</w:t>
            </w:r>
          </w:p>
        </w:tc>
        <w:tc>
          <w:tcPr>
            <w:tcW w:type="dxa" w:w="2448"/>
            <w:shd w:val="clear" w:fill="F5F7F5"/>
            <w:shd w:val="clear" w:fill="F5F7F5"/>
          </w:tcPr>
          <w:p>
            <w:r/>
            <w:r>
              <w:rPr>
                <w:rFonts w:ascii="Calibri" w:hAnsi="Calibri"/>
                <w:b w:val="0"/>
                <w:color w:val="2B2B2B"/>
                <w:sz w:val="20"/>
              </w:rPr>
              <w:t>De entorno</w:t>
            </w:r>
          </w:p>
        </w:tc>
        <w:tc>
          <w:tcPr>
            <w:tcW w:type="dxa" w:w="2448"/>
            <w:shd w:val="clear" w:fill="F5F7F5"/>
            <w:shd w:val="clear" w:fill="F5F7F5"/>
          </w:tcPr>
          <w:p>
            <w:r/>
          </w:p>
        </w:tc>
      </w:tr>
      <w:tr>
        <w:tc>
          <w:tcPr>
            <w:tcW w:type="dxa" w:w="2448"/>
          </w:tcPr>
          <w:p>
            <w:r/>
            <w:r>
              <w:rPr>
                <w:rFonts w:ascii="Calibri" w:hAnsi="Calibri"/>
                <w:b w:val="0"/>
                <w:color w:val="2B2B2B"/>
                <w:sz w:val="20"/>
              </w:rPr>
              <w:t>9</w:t>
            </w:r>
          </w:p>
        </w:tc>
        <w:tc>
          <w:tcPr>
            <w:tcW w:type="dxa" w:w="2448"/>
          </w:tcPr>
          <w:p>
            <w:r/>
            <w:r>
              <w:rPr>
                <w:rFonts w:ascii="Calibri" w:hAnsi="Calibri"/>
                <w:b w:val="0"/>
                <w:color w:val="2B2B2B"/>
                <w:sz w:val="20"/>
              </w:rPr>
              <w:t>No tengo a nadie con quien contrastar una idea a medio hacer</w:t>
            </w:r>
          </w:p>
        </w:tc>
        <w:tc>
          <w:tcPr>
            <w:tcW w:type="dxa" w:w="2448"/>
          </w:tcPr>
          <w:p>
            <w:r/>
            <w:r>
              <w:rPr>
                <w:rFonts w:ascii="Calibri" w:hAnsi="Calibri"/>
                <w:b w:val="0"/>
                <w:color w:val="2B2B2B"/>
                <w:sz w:val="20"/>
              </w:rPr>
              <w:t>De entorno</w:t>
            </w:r>
          </w:p>
        </w:tc>
        <w:tc>
          <w:tcPr>
            <w:tcW w:type="dxa" w:w="2448"/>
          </w:tcPr>
          <w:p>
            <w:r/>
          </w:p>
        </w:tc>
      </w:tr>
      <w:tr>
        <w:tc>
          <w:tcPr>
            <w:tcW w:type="dxa" w:w="2448"/>
            <w:shd w:val="clear" w:fill="F5F7F5"/>
            <w:shd w:val="clear" w:fill="F5F7F5"/>
          </w:tcPr>
          <w:p>
            <w:r/>
            <w:r>
              <w:rPr>
                <w:rFonts w:ascii="Calibri" w:hAnsi="Calibri"/>
                <w:b w:val="0"/>
                <w:color w:val="2B2B2B"/>
                <w:sz w:val="20"/>
              </w:rPr>
              <w:t>10</w:t>
            </w:r>
          </w:p>
        </w:tc>
        <w:tc>
          <w:tcPr>
            <w:tcW w:type="dxa" w:w="2448"/>
            <w:shd w:val="clear" w:fill="F5F7F5"/>
            <w:shd w:val="clear" w:fill="F5F7F5"/>
          </w:tcPr>
          <w:p>
            <w:r/>
            <w:r>
              <w:rPr>
                <w:rFonts w:ascii="Calibri" w:hAnsi="Calibri"/>
                <w:b w:val="0"/>
                <w:color w:val="2B2B2B"/>
                <w:sz w:val="20"/>
              </w:rPr>
              <w:t>Explico mis ideas siempre en el mismo lenguaje (solo texto, o solo números)</w:t>
            </w:r>
          </w:p>
        </w:tc>
        <w:tc>
          <w:tcPr>
            <w:tcW w:type="dxa" w:w="2448"/>
            <w:shd w:val="clear" w:fill="F5F7F5"/>
            <w:shd w:val="clear" w:fill="F5F7F5"/>
          </w:tcPr>
          <w:p>
            <w:r/>
            <w:r>
              <w:rPr>
                <w:rFonts w:ascii="Calibri" w:hAnsi="Calibri"/>
                <w:b w:val="0"/>
                <w:color w:val="2B2B2B"/>
                <w:sz w:val="20"/>
              </w:rPr>
              <w:t>De expresión</w:t>
            </w:r>
          </w:p>
        </w:tc>
        <w:tc>
          <w:tcPr>
            <w:tcW w:type="dxa" w:w="2448"/>
            <w:shd w:val="clear" w:fill="F5F7F5"/>
            <w:shd w:val="clear" w:fill="F5F7F5"/>
          </w:tcPr>
          <w:p>
            <w:r/>
          </w:p>
        </w:tc>
      </w:tr>
      <w:tr>
        <w:tc>
          <w:tcPr>
            <w:tcW w:type="dxa" w:w="2448"/>
          </w:tcPr>
          <w:p>
            <w:r/>
            <w:r>
              <w:rPr>
                <w:rFonts w:ascii="Calibri" w:hAnsi="Calibri"/>
                <w:b w:val="0"/>
                <w:color w:val="2B2B2B"/>
                <w:sz w:val="20"/>
              </w:rPr>
              <w:t>11</w:t>
            </w:r>
          </w:p>
        </w:tc>
        <w:tc>
          <w:tcPr>
            <w:tcW w:type="dxa" w:w="2448"/>
          </w:tcPr>
          <w:p>
            <w:r/>
            <w:r>
              <w:rPr>
                <w:rFonts w:ascii="Calibri" w:hAnsi="Calibri"/>
                <w:b w:val="0"/>
                <w:color w:val="2B2B2B"/>
                <w:sz w:val="20"/>
              </w:rPr>
              <w:t>Mis mejores ideas del mes se me ocurrieron fuera del trabajo o de clase</w:t>
            </w:r>
          </w:p>
        </w:tc>
        <w:tc>
          <w:tcPr>
            <w:tcW w:type="dxa" w:w="2448"/>
          </w:tcPr>
          <w:p>
            <w:r/>
            <w:r>
              <w:rPr>
                <w:rFonts w:ascii="Calibri" w:hAnsi="Calibri"/>
                <w:b w:val="0"/>
                <w:color w:val="2B2B2B"/>
                <w:sz w:val="20"/>
              </w:rPr>
              <w:t>De entorno</w:t>
            </w:r>
          </w:p>
        </w:tc>
        <w:tc>
          <w:tcPr>
            <w:tcW w:type="dxa" w:w="2448"/>
          </w:tcPr>
          <w:p>
            <w:r/>
          </w:p>
        </w:tc>
      </w:tr>
      <w:tr>
        <w:tc>
          <w:tcPr>
            <w:tcW w:type="dxa" w:w="2448"/>
            <w:shd w:val="clear" w:fill="F5F7F5"/>
            <w:shd w:val="clear" w:fill="F5F7F5"/>
          </w:tcPr>
          <w:p>
            <w:r/>
            <w:r>
              <w:rPr>
                <w:rFonts w:ascii="Calibri" w:hAnsi="Calibri"/>
                <w:b w:val="0"/>
                <w:color w:val="2B2B2B"/>
                <w:sz w:val="20"/>
              </w:rPr>
              <w:t>12</w:t>
            </w:r>
          </w:p>
        </w:tc>
        <w:tc>
          <w:tcPr>
            <w:tcW w:type="dxa" w:w="2448"/>
            <w:shd w:val="clear" w:fill="F5F7F5"/>
            <w:shd w:val="clear" w:fill="F5F7F5"/>
          </w:tcPr>
          <w:p>
            <w:r/>
            <w:r>
              <w:rPr>
                <w:rFonts w:ascii="Calibri" w:hAnsi="Calibri"/>
                <w:b w:val="0"/>
                <w:color w:val="2B2B2B"/>
                <w:sz w:val="20"/>
              </w:rPr>
              <w:t>El problema que elegí para mi propuesta en realidad no me molesta</w:t>
            </w:r>
          </w:p>
        </w:tc>
        <w:tc>
          <w:tcPr>
            <w:tcW w:type="dxa" w:w="2448"/>
            <w:shd w:val="clear" w:fill="F5F7F5"/>
            <w:shd w:val="clear" w:fill="F5F7F5"/>
          </w:tcPr>
          <w:p>
            <w:r/>
            <w:r>
              <w:rPr>
                <w:rFonts w:ascii="Calibri" w:hAnsi="Calibri"/>
                <w:b w:val="0"/>
                <w:color w:val="2B2B2B"/>
                <w:sz w:val="20"/>
              </w:rPr>
              <w:t>Motivación</w:t>
            </w:r>
          </w:p>
        </w:tc>
        <w:tc>
          <w:tcPr>
            <w:tcW w:type="dxa" w:w="2448"/>
            <w:shd w:val="clear" w:fill="F5F7F5"/>
            <w:shd w:val="clear" w:fill="F5F7F5"/>
          </w:tcPr>
          <w:p>
            <w:r/>
          </w:p>
        </w:tc>
      </w:tr>
    </w:tbl>
    <w:p/>
    <w:p>
      <w:r>
        <w:rPr>
          <w:rFonts w:ascii="Calibri" w:hAnsi="Calibri"/>
          <w:b/>
          <w:color w:val="2B2B2B"/>
          <w:sz w:val="22"/>
        </w:rPr>
        <w:t>Cómo leerlo.</w:t>
      </w:r>
      <w:r>
        <w:rPr>
          <w:rFonts w:ascii="Calibri" w:hAnsi="Calibri"/>
          <w:b w:val="0"/>
          <w:color w:val="2B2B2B"/>
          <w:sz w:val="22"/>
        </w:rPr>
        <w:t xml:space="preserve"> No cuente el total: </w:t>
      </w:r>
      <w:r>
        <w:rPr>
          <w:rFonts w:ascii="Calibri" w:hAnsi="Calibri"/>
          <w:b/>
          <w:color w:val="2B2B2B"/>
          <w:sz w:val="22"/>
        </w:rPr>
        <w:t>mire dónde se agrupan los «Sí»</w:t>
      </w:r>
      <w:r>
        <w:rPr>
          <w:rFonts w:ascii="Calibri" w:hAnsi="Calibri"/>
          <w:b w:val="0"/>
          <w:color w:val="2B2B2B"/>
          <w:sz w:val="22"/>
        </w:rPr>
        <w:t>. Dos o más «Sí» en una misma familia es su bloqueador dominante, y es el único que vale la pena atacar esta semana. Si el 12 es «Sí», atiéndalo primero: ningún ensanchador compensa un problema que a usted le da igual.</w:t>
      </w:r>
    </w:p>
    <w:p>
      <w:r>
        <w:rPr>
          <w:rFonts w:ascii="Calibri" w:hAnsi="Calibri"/>
          <w:b/>
          <w:color w:val="2B2B2B"/>
          <w:sz w:val="22"/>
        </w:rPr>
        <w:t>Su plan anti-bloqueador (tres líneas, en su documento de trabajo):</w:t>
      </w:r>
    </w:p>
    <w:p>
      <w:pPr>
        <w:pStyle w:val="ListNumber"/>
      </w:pPr>
      <w:r>
        <w:rPr>
          <w:rFonts w:ascii="Calibri" w:hAnsi="Calibri"/>
          <w:b/>
          <w:color w:val="2B2B2B"/>
          <w:sz w:val="22"/>
        </w:rPr>
        <w:t>Mi bloqueador dominante es</w:t>
      </w:r>
      <w:r>
        <w:rPr>
          <w:rFonts w:ascii="Calibri" w:hAnsi="Calibri"/>
          <w:b w:val="0"/>
          <w:color w:val="2B2B2B"/>
          <w:sz w:val="22"/>
        </w:rPr>
        <w:t xml:space="preserve"> ____________________ (familia + una frase con lo que me pasa de verdad).</w:t>
      </w:r>
    </w:p>
    <w:p>
      <w:pPr>
        <w:pStyle w:val="ListNumber"/>
      </w:pPr>
      <w:r>
        <w:rPr>
          <w:rFonts w:ascii="Calibri" w:hAnsi="Calibri"/>
          <w:b/>
          <w:color w:val="2B2B2B"/>
          <w:sz w:val="22"/>
        </w:rPr>
        <w:t>El ensanchador que voy a ejecutar es</w:t>
      </w:r>
      <w:r>
        <w:rPr>
          <w:rFonts w:ascii="Calibri" w:hAnsi="Calibri"/>
          <w:b w:val="0"/>
          <w:color w:val="2B2B2B"/>
          <w:sz w:val="22"/>
        </w:rPr>
        <w:t xml:space="preserve"> ____________________ (de la tabla 4.2, o uno propio, pero con verbo).</w:t>
      </w:r>
    </w:p>
    <w:p>
      <w:pPr>
        <w:pStyle w:val="ListNumber"/>
      </w:pPr>
      <w:r>
        <w:rPr>
          <w:rFonts w:ascii="Calibri" w:hAnsi="Calibri"/>
          <w:b/>
          <w:color w:val="2B2B2B"/>
          <w:sz w:val="22"/>
        </w:rPr>
        <w:t>Cuándo y con quién:</w:t>
      </w:r>
      <w:r>
        <w:rPr>
          <w:rFonts w:ascii="Calibri" w:hAnsi="Calibri"/>
          <w:b w:val="0"/>
          <w:color w:val="2B2B2B"/>
          <w:sz w:val="22"/>
        </w:rPr>
        <w:t xml:space="preserve"> ____________________ (día, hora, persona concreta). Sin fecha no es un plan.</w:t>
      </w:r>
    </w:p>
    <w:p>
      <w:r>
        <w:rPr>
          <w:rFonts w:ascii="Calibri" w:hAnsi="Calibri"/>
          <w:b w:val="0"/>
          <w:color w:val="2B2B2B"/>
          <w:sz w:val="22"/>
        </w:rPr>
        <w:t xml:space="preserve">Guarde esto. En la sesión de taller de la U2 el Docente trabaja el </w:t>
      </w:r>
      <w:r>
        <w:rPr>
          <w:rFonts w:ascii="Calibri" w:hAnsi="Calibri"/>
          <w:b/>
          <w:color w:val="2B2B2B"/>
          <w:sz w:val="22"/>
        </w:rPr>
        <w:t>mapa de utilidad</w:t>
      </w:r>
      <w:r>
        <w:rPr>
          <w:rFonts w:ascii="Calibri" w:hAnsi="Calibri"/>
          <w:b w:val="0"/>
          <w:color w:val="2B2B2B"/>
          <w:sz w:val="22"/>
        </w:rPr>
        <w:t xml:space="preserve"> que el Syllabus asigna como recurso de esta unidad, y se parte de aquí.</w:t>
      </w:r>
    </w:p>
    <w:p>
      <w:pPr>
        <w:spacing w:before="200" w:after="60"/>
      </w:pPr>
      <w:r>
        <w:rPr>
          <w:rFonts w:ascii="Calibri" w:hAnsi="Calibri"/>
          <w:b/>
          <w:color w:val="007433"/>
          <w:sz w:val="32"/>
        </w:rPr>
        <w:t>6. Qué se le puede preguntar de esto, y qué no</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Ítem del aula</w:t>
            </w:r>
          </w:p>
        </w:tc>
        <w:tc>
          <w:tcPr>
            <w:tcW w:type="dxa" w:w="4896"/>
            <w:shd w:val="clear" w:fill="0C2340"/>
            <w:shd w:val="clear" w:fill="0C2340"/>
          </w:tcPr>
          <w:p>
            <w:r>
              <w:rPr>
                <w:rFonts w:ascii="Calibri" w:hAnsi="Calibri"/>
                <w:b/>
                <w:color w:val="FFFFFF"/>
              </w:rPr>
            </w:r>
            <w:r>
              <w:rPr>
                <w:rFonts w:ascii="Calibri" w:hAnsi="Calibri"/>
                <w:b/>
                <w:color w:val="FFFFFF"/>
                <w:sz w:val="21"/>
              </w:rPr>
              <w:t>¿Entra este material?</w:t>
            </w:r>
          </w:p>
        </w:tc>
      </w:tr>
      <w:tr>
        <w:tc>
          <w:tcPr>
            <w:tcW w:type="dxa" w:w="4896"/>
          </w:tcPr>
          <w:p>
            <w:r/>
            <w:r>
              <w:rPr>
                <w:rFonts w:ascii="Calibri" w:hAnsi="Calibri"/>
                <w:b/>
                <w:color w:val="2B2B2B"/>
                <w:sz w:val="20"/>
              </w:rPr>
              <w:t>Quiz 1 (6%, cierra 19/08/2026)</w:t>
            </w:r>
          </w:p>
        </w:tc>
        <w:tc>
          <w:tcPr>
            <w:tcW w:type="dxa" w:w="4896"/>
          </w:tcPr>
          <w:p>
            <w:r/>
            <w:r>
              <w:rPr>
                <w:rFonts w:ascii="Calibri" w:hAnsi="Calibri"/>
                <w:b/>
                <w:color w:val="2B2B2B"/>
                <w:sz w:val="20"/>
              </w:rPr>
              <w:t>Nada de este documento.</w:t>
            </w:r>
            <w:r>
              <w:rPr>
                <w:rFonts w:ascii="Calibri" w:hAnsi="Calibri"/>
                <w:b w:val="0"/>
                <w:color w:val="2B2B2B"/>
                <w:sz w:val="20"/>
              </w:rPr>
              <w:t xml:space="preserve"> El alcance del Quiz 1 quedó fijado antes de su publicación y no se modifica.</w:t>
            </w:r>
          </w:p>
        </w:tc>
      </w:tr>
      <w:tr>
        <w:tc>
          <w:tcPr>
            <w:tcW w:type="dxa" w:w="4896"/>
            <w:shd w:val="clear" w:fill="F5F7F5"/>
            <w:shd w:val="clear" w:fill="F5F7F5"/>
          </w:tcPr>
          <w:p>
            <w:r/>
            <w:r>
              <w:rPr>
                <w:rFonts w:ascii="Calibri" w:hAnsi="Calibri"/>
                <w:b/>
                <w:color w:val="2B2B2B"/>
                <w:sz w:val="20"/>
              </w:rPr>
              <w:t>Parcial 1 (24%, cierra 26/08/2026)</w:t>
            </w:r>
          </w:p>
        </w:tc>
        <w:tc>
          <w:tcPr>
            <w:tcW w:type="dxa" w:w="4896"/>
            <w:shd w:val="clear" w:fill="F5F7F5"/>
            <w:shd w:val="clear" w:fill="F5F7F5"/>
          </w:tcPr>
          <w:p>
            <w:r/>
            <w:r>
              <w:rPr>
                <w:rFonts w:ascii="Calibri" w:hAnsi="Calibri"/>
                <w:b w:val="0"/>
                <w:color w:val="2B2B2B"/>
                <w:sz w:val="20"/>
              </w:rPr>
              <w:t>Sí. Debe poder: (a) definir bloqueador y ensanchador con los términos del Syllabus; (b) reconocer a qué familia pertenece un caso descrito; (c) proponer un ensanchador concreto para un bloqueador dado; (d) explicar por qué la inteligencia emocional es el «insumo» de la U2.</w:t>
            </w:r>
          </w:p>
        </w:tc>
      </w:tr>
      <w:tr>
        <w:tc>
          <w:tcPr>
            <w:tcW w:type="dxa" w:w="4896"/>
          </w:tcPr>
          <w:p>
            <w:r/>
            <w:r>
              <w:rPr>
                <w:rFonts w:ascii="Calibri" w:hAnsi="Calibri"/>
                <w:b/>
                <w:color w:val="2B2B2B"/>
                <w:sz w:val="20"/>
              </w:rPr>
              <w:t>ACA Final (Propuesta de Innovación)</w:t>
            </w:r>
          </w:p>
        </w:tc>
        <w:tc>
          <w:tcPr>
            <w:tcW w:type="dxa" w:w="4896"/>
          </w:tcPr>
          <w:p>
            <w:r/>
            <w:r>
              <w:rPr>
                <w:rFonts w:ascii="Calibri" w:hAnsi="Calibri"/>
                <w:b w:val="0"/>
                <w:color w:val="2B2B2B"/>
                <w:sz w:val="20"/>
              </w:rPr>
              <w:t>Sí, de forma aplicada: la U2 es parte del recorrido que sostiene la propuesta.</w:t>
            </w:r>
          </w:p>
        </w:tc>
      </w:tr>
    </w:tbl>
    <w:p/>
    <w:p>
      <w:r>
        <w:rPr>
          <w:rFonts w:ascii="Calibri" w:hAnsi="Calibri"/>
          <w:b w:val="0"/>
          <w:color w:val="2B2B2B"/>
          <w:sz w:val="22"/>
        </w:rPr>
        <w:t>No se le va a pedir recitar la lista de Adams en orden. Se le va a pedir usarla.</w:t>
      </w:r>
    </w:p>
    <w:p>
      <w:pPr>
        <w:spacing w:before="200" w:after="60"/>
      </w:pPr>
      <w:r>
        <w:rPr>
          <w:rFonts w:ascii="Calibri" w:hAnsi="Calibri"/>
          <w:b/>
          <w:color w:val="007433"/>
          <w:sz w:val="32"/>
        </w:rPr>
        <w:t>7. Referencias</w:t>
      </w:r>
    </w:p>
    <w:p>
      <w:r>
        <w:rPr>
          <w:rFonts w:ascii="Calibri" w:hAnsi="Calibri"/>
          <w:b w:val="0"/>
          <w:color w:val="2B2B2B"/>
          <w:sz w:val="22"/>
        </w:rPr>
        <w:t xml:space="preserve">Todas verificadas. Las marcadas </w:t>
      </w:r>
      <w:r>
        <w:rPr>
          <w:rFonts w:ascii="Calibri" w:hAnsi="Calibri"/>
          <w:b/>
          <w:color w:val="2B2B2B"/>
          <w:sz w:val="22"/>
        </w:rPr>
        <w:t>[Syllabus]</w:t>
      </w:r>
      <w:r>
        <w:rPr>
          <w:rFonts w:ascii="Calibri" w:hAnsi="Calibri"/>
          <w:b w:val="0"/>
          <w:color w:val="2B2B2B"/>
          <w:sz w:val="22"/>
        </w:rPr>
        <w:t xml:space="preserve"> están en la bibliografía oficial de la asignatura y se consultan por la Biblioteca CUN (EBSCO / proxy institucional).</w:t>
      </w:r>
    </w:p>
    <w:p>
      <w:pPr>
        <w:pStyle w:val="ListBullet"/>
      </w:pPr>
      <w:r>
        <w:rPr>
          <w:rFonts w:ascii="Calibri" w:hAnsi="Calibri"/>
          <w:b w:val="0"/>
          <w:color w:val="2B2B2B"/>
          <w:sz w:val="22"/>
        </w:rPr>
        <w:t>Adams, J. L. (2019). Conceptual blockbusting: A guide to better ideas (5.ª ed.). Basic Books. (Obra original publicada en 1974 por W. H. Freeman.) — fuente de la taxonomía de bloqueadores.</w:t>
      </w:r>
    </w:p>
    <w:p>
      <w:pPr>
        <w:pStyle w:val="ListBullet"/>
      </w:pPr>
      <w:r>
        <w:rPr>
          <w:rFonts w:ascii="Calibri" w:hAnsi="Calibri"/>
          <w:b w:val="0"/>
          <w:color w:val="2B2B2B"/>
          <w:sz w:val="22"/>
        </w:rPr>
        <w:t>Amabile, T. M., Conti, R., Coon, H., Lazenby, J. y Herron, M. (1996). Assessing the work environment for creativity. Academy of Management Journal, 39(5), 1154–1184. https://doi.org/10.2307/256995</w:t>
      </w:r>
    </w:p>
    <w:p>
      <w:pPr>
        <w:pStyle w:val="ListBullet"/>
      </w:pPr>
      <w:r>
        <w:rPr>
          <w:rFonts w:ascii="Calibri" w:hAnsi="Calibri"/>
          <w:b w:val="0"/>
          <w:color w:val="2B2B2B"/>
          <w:sz w:val="22"/>
        </w:rPr>
        <w:t xml:space="preserve">da Costa, S., Páez, D., Sánchez, F., Garaigordobil, M. y Gondim, S. (2015). Personal factors of creativity: A second order meta-analysis. Revista de Psicología del Trabajo y de las Organizaciones, 31(3), 165–173. https://doi.org/10.1016/j.rpto.2015.06.002 — </w:t>
      </w:r>
      <w:r>
        <w:rPr>
          <w:rFonts w:ascii="Calibri" w:hAnsi="Calibri"/>
          <w:b/>
          <w:color w:val="2B2B2B"/>
          <w:sz w:val="22"/>
        </w:rPr>
        <w:t>[Syllabus]</w:t>
      </w:r>
    </w:p>
    <w:p>
      <w:pPr>
        <w:pStyle w:val="ListBullet"/>
      </w:pPr>
      <w:r>
        <w:rPr>
          <w:rFonts w:ascii="Calibri" w:hAnsi="Calibri"/>
          <w:b w:val="0"/>
          <w:color w:val="2B2B2B"/>
          <w:sz w:val="22"/>
        </w:rPr>
        <w:t xml:space="preserve">De Bono, E. (1992). El pensamiento creativo. Paidós. — </w:t>
      </w:r>
      <w:r>
        <w:rPr>
          <w:rFonts w:ascii="Calibri" w:hAnsi="Calibri"/>
          <w:b/>
          <w:color w:val="2B2B2B"/>
          <w:sz w:val="22"/>
        </w:rPr>
        <w:t>[Syllabus]</w:t>
      </w:r>
    </w:p>
    <w:p>
      <w:pPr>
        <w:pStyle w:val="ListBullet"/>
      </w:pPr>
      <w:r>
        <w:rPr>
          <w:rFonts w:ascii="Calibri" w:hAnsi="Calibri"/>
          <w:b w:val="0"/>
          <w:color w:val="2B2B2B"/>
          <w:sz w:val="22"/>
        </w:rPr>
        <w:t xml:space="preserve">Goleman, D. (1995). Emotional intelligence: Why it can matter more than IQ. Bantam Books. (Ed. en español: Inteligencia emocional, Kairós, 1996.) — </w:t>
      </w:r>
      <w:r>
        <w:rPr>
          <w:rFonts w:ascii="Calibri" w:hAnsi="Calibri"/>
          <w:b/>
          <w:color w:val="2B2B2B"/>
          <w:sz w:val="22"/>
        </w:rPr>
        <w:t>[Syllabus]</w:t>
      </w:r>
      <w:r>
        <w:rPr>
          <w:rFonts w:ascii="Calibri" w:hAnsi="Calibri"/>
          <w:b w:val="0"/>
          <w:color w:val="2B2B2B"/>
          <w:sz w:val="22"/>
        </w:rPr>
        <w:t>, allí citado sin año ni editorial.</w:t>
      </w:r>
    </w:p>
    <w:p>
      <w:pPr>
        <w:pStyle w:val="ListBullet"/>
      </w:pPr>
      <w:r>
        <w:rPr>
          <w:rFonts w:ascii="Calibri" w:hAnsi="Calibri"/>
          <w:b w:val="0"/>
          <w:color w:val="2B2B2B"/>
          <w:sz w:val="22"/>
        </w:rPr>
        <w:t>Guilford, J. P. (1950). Creativity. American Psychologist, 5(9), 444–454. https://doi.org/10.1037/h0063487</w:t>
      </w:r>
    </w:p>
    <w:p>
      <w:pPr>
        <w:pStyle w:val="ListBullet"/>
      </w:pPr>
      <w:r>
        <w:rPr>
          <w:rFonts w:ascii="Calibri" w:hAnsi="Calibri"/>
          <w:b w:val="0"/>
          <w:color w:val="2B2B2B"/>
          <w:sz w:val="22"/>
        </w:rPr>
        <w:t xml:space="preserve">Latorre-Cosculluela, C., Vázquez-Toledo, S., Rodríguez-Martínez, A. y Liesa-Orús, M. (2020). Design Thinking: creatividad y pensamiento crítico en la universidad. Revista Electrónica de Investigación Educativa, 22, e28. https://doi.org/10.24320/redie.2020.22.e28.2917 — </w:t>
      </w:r>
      <w:r>
        <w:rPr>
          <w:rFonts w:ascii="Calibri" w:hAnsi="Calibri"/>
          <w:b/>
          <w:color w:val="2B2B2B"/>
          <w:sz w:val="22"/>
        </w:rPr>
        <w:t>lectura obligatoria de la Sesión 01; el PDF está en esta carpeta.</w:t>
      </w:r>
    </w:p>
    <w:p>
      <w:pPr>
        <w:pStyle w:val="ListBullet"/>
      </w:pPr>
      <w:r>
        <w:rPr>
          <w:rFonts w:ascii="Calibri" w:hAnsi="Calibri"/>
          <w:b w:val="0"/>
          <w:color w:val="2B2B2B"/>
          <w:sz w:val="22"/>
        </w:rPr>
        <w:t xml:space="preserve">López, D. C. et al. (2004). Los inhibidores personales como principal obstáculo para el desarrollo de la creatividad a nivel empresarial. Revista Creando, año 2(3). Universidad Nacional de Colombia, Sede Manizales. — </w:t>
      </w:r>
      <w:r>
        <w:rPr>
          <w:rFonts w:ascii="Calibri" w:hAnsi="Calibri"/>
          <w:b/>
          <w:color w:val="2B2B2B"/>
          <w:sz w:val="22"/>
        </w:rPr>
        <w:t>[Syllabus]</w:t>
      </w:r>
      <w:r>
        <w:rPr>
          <w:rFonts w:ascii="Calibri" w:hAnsi="Calibri"/>
          <w:b w:val="0"/>
          <w:color w:val="2B2B2B"/>
          <w:sz w:val="22"/>
        </w:rPr>
        <w:t>. Aviso: el enlace de Dialnet que trae el Syllabus para esta entrada (</w:t>
      </w:r>
      <w:r>
        <w:rPr>
          <w:rFonts w:ascii="Consolas" w:hAnsi="Consolas"/>
          <w:color w:val="111111"/>
          <w:sz w:val="21"/>
        </w:rPr>
        <w:t>dialnet.unirioja.es/servlet/articulo?codigo=3693414</w:t>
      </w:r>
      <w:r>
        <w:rPr>
          <w:rFonts w:ascii="Calibri" w:hAnsi="Calibri"/>
          <w:b w:val="0"/>
          <w:color w:val="2B2B2B"/>
          <w:sz w:val="22"/>
        </w:rPr>
        <w:t xml:space="preserve">) </w:t>
      </w:r>
      <w:r>
        <w:rPr>
          <w:rFonts w:ascii="Calibri" w:hAnsi="Calibri"/>
          <w:b/>
          <w:color w:val="2B2B2B"/>
          <w:sz w:val="22"/>
        </w:rPr>
        <w:t>no corresponde a este artículo</w:t>
      </w:r>
      <w:r>
        <w:rPr>
          <w:rFonts w:ascii="Calibri" w:hAnsi="Calibri"/>
          <w:b w:val="0"/>
          <w:color w:val="2B2B2B"/>
          <w:sz w:val="22"/>
        </w:rPr>
        <w:t xml:space="preserve"> — resuelve a Ulate Soto (2010), «La innovación que potencia el desarrollo», Revista Nacional de Administración, 1(2), 79–86. Verificado el 2026-08-15. Consúltese por Biblioteca CUN.</w:t>
      </w:r>
    </w:p>
    <w:p>
      <w:pPr>
        <w:pStyle w:val="ListBullet"/>
      </w:pPr>
      <w:r>
        <w:rPr>
          <w:rFonts w:ascii="Calibri" w:hAnsi="Calibri"/>
          <w:b w:val="0"/>
          <w:color w:val="2B2B2B"/>
          <w:sz w:val="22"/>
        </w:rPr>
        <w:t>Osborn, A. F. (1953). Applied imagination: Principles and procedures of creative thinking. Charles Scribner's Sons. — principio de aplazamiento del juicio.</w:t>
      </w:r>
    </w:p>
    <w:p>
      <w:pPr>
        <w:pStyle w:val="ListBullet"/>
      </w:pPr>
      <w:r>
        <w:rPr>
          <w:rFonts w:ascii="Calibri" w:hAnsi="Calibri"/>
          <w:b w:val="0"/>
          <w:color w:val="2B2B2B"/>
          <w:sz w:val="22"/>
        </w:rPr>
        <w:t>Torrance, E. P. (1966). Torrance tests of creative thinking: Norms-technical manual. Personnel Press. — indicadores de fluidez, flexibilidad, originalidad y elaboración.</w:t>
      </w:r>
    </w:p>
    <w:p>
      <w:pPr>
        <w:pStyle w:val="ListBullet"/>
      </w:pPr>
      <w:r>
        <w:rPr>
          <w:rFonts w:ascii="Calibri" w:hAnsi="Calibri"/>
          <w:b w:val="0"/>
          <w:color w:val="2B2B2B"/>
          <w:sz w:val="22"/>
        </w:rPr>
        <w:t>Von Oech, R. (1983). A whack on the side of the head: How you can be more creative. Warner Books. — lectura de ampliación; presenta los bloqueadores como «candados mentales».</w:t>
      </w:r>
    </w:p>
    <w:p>
      <w:pPr>
        <w:pStyle w:val="ListBullet"/>
      </w:pPr>
      <w:r>
        <w:rPr>
          <w:rFonts w:ascii="Calibri" w:hAnsi="Calibri"/>
          <w:b w:val="0"/>
          <w:color w:val="2B2B2B"/>
          <w:sz w:val="22"/>
        </w:rPr>
        <w:t>Corporación Unificada Nacional de Educación Superior (CUN). Syllabus SIAC — Creatividad y Pensamiento Innovador para Escuela de Ingenierías (EI004_VIR), tabla «UNIDADES DE CONOCIMIENTO», fila 2, y «Recursos bibliográficos». — fuente de la terminología y del alcance de la U2.</w:t>
      </w:r>
    </w:p>
    <w:p>
      <w:pPr>
        <w:spacing w:before="200" w:after="60"/>
      </w:pPr>
      <w:r>
        <w:rPr>
          <w:rFonts w:ascii="Calibri" w:hAnsi="Calibri"/>
          <w:b/>
          <w:color w:val="007433"/>
          <w:sz w:val="32"/>
        </w:rPr>
        <w:t>Pendiente para el Docente: lectura opcional cuyo PDF no está en la carpeta</w:t>
      </w:r>
    </w:p>
    <w:p>
      <w:r>
        <w:rPr>
          <w:rFonts w:ascii="Calibri" w:hAnsi="Calibri"/>
          <w:b w:val="0"/>
          <w:color w:val="2B2B2B"/>
          <w:sz w:val="22"/>
        </w:rPr>
        <w:t xml:space="preserve">La consigna </w:t>
      </w:r>
      <w:r>
        <w:rPr>
          <w:rFonts w:ascii="Consolas" w:hAnsi="Consolas"/>
          <w:color w:val="111111"/>
          <w:sz w:val="21"/>
        </w:rPr>
        <w:t>Lectura autonoma - Sesion 01.txt</w:t>
      </w:r>
      <w:r>
        <w:rPr>
          <w:rFonts w:ascii="Calibri" w:hAnsi="Calibri"/>
          <w:b w:val="0"/>
          <w:color w:val="2B2B2B"/>
          <w:sz w:val="22"/>
        </w:rPr>
        <w:t xml:space="preserve"> declara como </w:t>
      </w:r>
      <w:r>
        <w:rPr>
          <w:rFonts w:ascii="Calibri" w:hAnsi="Calibri"/>
          <w:b/>
          <w:color w:val="2B2B2B"/>
          <w:sz w:val="22"/>
        </w:rPr>
        <w:t>complementaria opcional</w:t>
      </w:r>
      <w:r>
        <w:rPr>
          <w:rFonts w:ascii="Calibri" w:hAnsi="Calibri"/>
          <w:b w:val="0"/>
          <w:color w:val="2B2B2B"/>
          <w:sz w:val="22"/>
        </w:rPr>
        <w:t xml:space="preserve"> el artículo que sigue, y es la única fuente del material que ordena empíricamente los bloqueadores en población universitaria hispanohablante. </w:t>
      </w:r>
      <w:r>
        <w:rPr>
          <w:rFonts w:ascii="Calibri" w:hAnsi="Calibri"/>
          <w:b/>
          <w:color w:val="2B2B2B"/>
          <w:sz w:val="22"/>
        </w:rPr>
        <w:t>Su PDF no está en esta carpeta ni en ninguna otra del curso</w:t>
      </w:r>
      <w:r>
        <w:rPr>
          <w:rFonts w:ascii="Calibri" w:hAnsi="Calibri"/>
          <w:b w:val="0"/>
          <w:color w:val="2B2B2B"/>
          <w:sz w:val="22"/>
        </w:rPr>
        <w:t xml:space="preserve"> (barrido del 2026-08-15: el único PDF del curso es el de REDIE 2020). Queda a decisión del Docente conseguirlo o retirar la referencia:</w:t>
      </w:r>
    </w:p>
    <w:p>
      <w:pPr>
        <w:ind w:left="432"/>
        <w:shd w:val="clear" w:fill="E8F5EC"/>
      </w:pPr>
      <w:r>
        <w:rPr>
          <w:rFonts w:ascii="Calibri" w:hAnsi="Calibri"/>
          <w:b w:val="0"/>
          <w:i/>
          <w:color w:val="2B2B2B"/>
          <w:sz w:val="21"/>
        </w:rPr>
        <w:t>Aperribai, L., Morais, M. F., Cortabarria, L. y Machado, F. (2024). Barreras para la creatividad personal en estudiantes universitarios españoles y portugueses [Barriers to personal creativity in Spanish and Portuguese university students]. Educación XX1, 27(1), 81–104. https://doi.org/10.5944/educxx1.35761</w:t>
      </w:r>
    </w:p>
    <w:p>
      <w:pPr>
        <w:ind w:left="432"/>
        <w:shd w:val="clear" w:fill="E8F5EC"/>
      </w:pPr>
    </w:p>
    <w:p>
      <w:pPr>
        <w:ind w:left="432"/>
        <w:shd w:val="clear" w:fill="E8F5EC"/>
      </w:pPr>
      <w:r>
        <w:rPr>
          <w:rFonts w:ascii="Calibri" w:hAnsi="Calibri"/>
          <w:b w:val="0"/>
          <w:i/>
          <w:color w:val="2B2B2B"/>
          <w:sz w:val="21"/>
        </w:rPr>
        <w:t>Acceso abierto, licencia CC BY-NC 4.0. Registro verificado en Crossref el 2026-08-15. Portal: https://revistas.uned.es/index.php/educacionXX1/article/view/35761 — Agrupa los bloqueadores en cuatro categorías: inhibición/timidez, falta de motivación, falta de tiempo y de oportunidades, y represión social.</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Unidad 2 del Syllabus - material para el Parcial 1. NO forma parte del Quiz 1.</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