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· Corte único 100%: EV05 50% (proceso académico) + EXAM 50% (sustentación ante pares/jurados). Artículo ≥ 50 referencias; extensión no inferior a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 · Grupo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22 de septiembre de 2026</w:t>
      </w:r>
      <w:r>
        <w:rPr>
          <w:rFonts w:ascii="Calibri" w:hAnsi="Calibri"/>
          <w:b w:val="0"/>
          <w:color w:val="2B2B2B"/>
          <w:sz w:val="22"/>
        </w:rPr>
        <w:t xml:space="preserve"> (mar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10/08/2026 – cierre 22/09/2026.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1 — EV05 · Proceso académico (artículo)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50%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Desarrollar y consolidar el </w:t>
      </w:r>
      <w:r>
        <w:rPr>
          <w:rFonts w:ascii="Calibri" w:hAnsi="Calibri"/>
          <w:b/>
          <w:color w:val="2B2B2B"/>
          <w:sz w:val="22"/>
        </w:rPr>
        <w:t>artículo resultado de investigación</w:t>
      </w:r>
      <w:r>
        <w:rPr>
          <w:rFonts w:ascii="Calibri" w:hAnsi="Calibri"/>
          <w:b w:val="0"/>
          <w:color w:val="2B2B2B"/>
          <w:sz w:val="22"/>
        </w:rPr>
        <w:t xml:space="preserve"> (o investigación-creación) con calidad argumentativa, bajo acompañamiento del Docente (Syllabus U1–U12 / proceso).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Retoma/define el proyecto y formula pregunta, objetivos y título.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Redacta introducción y estructura del artículo (plantilla APA CUN).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Desarrolla referentes (fases), metodología/instrumento y análisis según tu ruta.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Cierra marco teórico, resultados/discusión, resumen, palabras clave UNESCO, conclusiones y referencias.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Alista póster, evidencias/anexos y </w:t>
      </w:r>
      <w:r>
        <w:rPr>
          <w:rFonts w:ascii="Calibri" w:hAnsi="Calibri"/>
          <w:b/>
          <w:color w:val="2B2B2B"/>
          <w:sz w:val="22"/>
        </w:rPr>
        <w:t>verificación antiplagio</w:t>
      </w:r>
      <w:r>
        <w:rPr>
          <w:rFonts w:ascii="Calibri" w:hAnsi="Calibri"/>
          <w:b w:val="0"/>
          <w:color w:val="2B2B2B"/>
          <w:sz w:val="22"/>
        </w:rPr>
        <w:t xml:space="preserve"> institucional antes de la sustentación.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Entrega los avances de proceso en las actividades EV05 de CDigital (según hitos del Docente).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Artículo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Requisitos syllabus: </w:t>
      </w:r>
      <w:r>
        <w:rPr>
          <w:rFonts w:ascii="Calibri" w:hAnsi="Calibri"/>
          <w:b/>
          <w:color w:val="2B2B2B"/>
          <w:sz w:val="22"/>
        </w:rPr>
        <w:t>≥ 50 referencias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≥ 4.000 palabras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Póster + evidencias para anexos (formato que indique el Docente).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 sugerido: </w:t>
      </w:r>
      <w:r>
        <w:rPr>
          <w:rFonts w:ascii="Consolas" w:hAnsi="Consolas"/>
          <w:color w:val="111111"/>
          <w:sz w:val="21"/>
        </w:rPr>
        <w:t>TG3_EV05_Articulo_Apellido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Coherencia problema–pregunta–objetivos–método–resultados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Revisión bibliográfica rigurosa (≥ 50 refs)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Extensión ≥ 4.000 palabras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APA 7 e integridad (antiplagio)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Póster/evidencias listos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Calidad argumentativa (evaluación docente + preparación a jurados)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Herramienta antiplagio institucional (ruta oficial del semestre en CDigital — no inventar URL)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Proceso a lo largo de </w:t>
      </w:r>
      <w:r>
        <w:rPr>
          <w:rFonts w:ascii="Calibri" w:hAnsi="Calibri"/>
          <w:b/>
          <w:color w:val="2B2B2B"/>
          <w:sz w:val="22"/>
        </w:rPr>
        <w:t>Sesiones 01–12</w:t>
      </w:r>
      <w:r>
        <w:rPr>
          <w:rFonts w:ascii="Calibri" w:hAnsi="Calibri"/>
          <w:b w:val="0"/>
          <w:color w:val="2B2B2B"/>
          <w:sz w:val="22"/>
        </w:rPr>
        <w:t xml:space="preserve"> (hasta póster/antiplagio). Los hitos parciales los define el Docente dentro de EV05.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