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· Corte único 100%: EV05 50% (proceso académico) + EXAM 50% (sustentación ante pares/jurados). Artículo ≥ 50 referencias; extensión no inferior a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Fechas de entrega (CDigital) según grupo: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54450: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03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29/09/2026 – 03/11/2026)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Grupos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10 de noviembre de 2026</w:t>
      </w:r>
      <w:r>
        <w:rPr>
          <w:rFonts w:ascii="Calibri" w:hAnsi="Calibri"/>
          <w:b w:val="0"/>
          <w:color w:val="2B2B2B"/>
          <w:sz w:val="22"/>
        </w:rPr>
        <w:t xml:space="preserve"> (ventana 29/09/2026 – 10/11/2026)</w:t>
      </w:r>
    </w:p>
    <w:p>
      <w:r>
        <w:rPr>
          <w:rFonts w:ascii="Calibri" w:hAnsi="Calibri"/>
          <w:b/>
          <w:color w:val="2B2B2B"/>
          <w:sz w:val="22"/>
        </w:rPr>
        <w:t>Día de clase:</w:t>
      </w:r>
      <w:r>
        <w:rPr>
          <w:rFonts w:ascii="Calibri" w:hAnsi="Calibri"/>
          <w:b w:val="0"/>
          <w:color w:val="2B2B2B"/>
          <w:sz w:val="22"/>
        </w:rPr>
        <w:t xml:space="preserve"> mar. &gt; Regla: pesos + día de clase sobre [inicio–recepción] por oferta.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2 — EXAM · Sustentación ante jurados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50%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>Sustentar oralmente el trabajo de grado ante pares/jurados asignados por la Dirección del Programa (Syllabus U13) y completar entregables de repositorio (U14).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Confirma fecha, modalidad y requisitos de sustentación con el Docente / programa.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Prepara exposición (póster + síntesis del artículo: problema, método, hallazgos, aporte).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Ensaya tiempos y respuestas a preguntas de jurados.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Realiza la </w:t>
      </w:r>
      <w:r>
        <w:rPr>
          <w:rFonts w:ascii="Calibri" w:hAnsi="Calibri"/>
          <w:b/>
          <w:color w:val="2B2B2B"/>
          <w:sz w:val="22"/>
        </w:rPr>
        <w:t>sustentación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Carga los </w:t>
      </w:r>
      <w:r>
        <w:rPr>
          <w:rFonts w:ascii="Calibri" w:hAnsi="Calibri"/>
          <w:b/>
          <w:color w:val="2B2B2B"/>
          <w:sz w:val="22"/>
        </w:rPr>
        <w:t>entregables al repositorio institucional</w:t>
      </w:r>
      <w:r>
        <w:rPr>
          <w:rFonts w:ascii="Calibri" w:hAnsi="Calibri"/>
          <w:b w:val="0"/>
          <w:color w:val="2B2B2B"/>
          <w:sz w:val="22"/>
        </w:rPr>
        <w:t xml:space="preserve"> según checklist oficial (U14).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Sustentación oral (evidencia según protocolo del programa).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Paquete final para repositorio (artículo + anexos que exija la institución).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 de apoyo sugerido: </w:t>
      </w:r>
      <w:r>
        <w:rPr>
          <w:rFonts w:ascii="Consolas" w:hAnsi="Consolas"/>
          <w:color w:val="111111"/>
          <w:sz w:val="21"/>
        </w:rPr>
        <w:t>TG3_EXAM_Sustentacion_Apellido</w:t>
      </w:r>
      <w:r>
        <w:rPr>
          <w:rFonts w:ascii="Calibri" w:hAnsi="Calibri"/>
          <w:b w:val="0"/>
          <w:color w:val="2B2B2B"/>
          <w:sz w:val="22"/>
        </w:rPr>
        <w:t xml:space="preserve"> (slides/póster).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Dominio del contenido del artículo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Claridad y argumentación en la defensa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Respuesta a jurados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Material visual (póster) adecuado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Entregables de repositorio completos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Slides / Canva free (póster)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/ repositorio institucional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/>
          <w:color w:val="2B2B2B"/>
          <w:sz w:val="22"/>
        </w:rPr>
        <w:t>Sesión 13</w:t>
      </w:r>
      <w:r>
        <w:rPr>
          <w:rFonts w:ascii="Calibri" w:hAnsi="Calibri"/>
          <w:b w:val="0"/>
          <w:color w:val="2B2B2B"/>
          <w:sz w:val="22"/>
        </w:rPr>
        <w:t xml:space="preserve"> = sustentación · </w:t>
      </w:r>
      <w:r>
        <w:rPr>
          <w:rFonts w:ascii="Calibri" w:hAnsi="Calibri"/>
          <w:b/>
          <w:color w:val="2B2B2B"/>
          <w:sz w:val="22"/>
        </w:rPr>
        <w:t>Sesión 14</w:t>
      </w:r>
      <w:r>
        <w:rPr>
          <w:rFonts w:ascii="Calibri" w:hAnsi="Calibri"/>
          <w:b w:val="0"/>
          <w:color w:val="2B2B2B"/>
          <w:sz w:val="22"/>
        </w:rPr>
        <w:t xml:space="preserve"> = repositorio · buffers posteriores solo si el calendario del grupo lo contempla.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