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ACA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([URL CDigital — campus del curso pendiente])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(evaluación Art. 41: ACA1 25% · ACA2 25% · ACA3 42% · autoevaluación 4% · coevaluación 4%) · Manual del Docente / AFI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08 de noviembre de 2026</w:t>
      </w:r>
      <w:r>
        <w:rPr>
          <w:rFonts w:ascii="Calibri" w:hAnsi="Calibri"/>
          <w:b w:val="0"/>
          <w:color w:val="2B2B2B"/>
          <w:sz w:val="22"/>
        </w:rPr>
        <w:t xml:space="preserve"> (lun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12/10/2026 – cierre 08/11/2026.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 calculada con la regla del periodo (pesos + día de clase; ver Presentación del Curso / Manual).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Título / código</w:t>
      </w:r>
    </w:p>
    <w:p>
      <w:r>
        <w:rPr>
          <w:rFonts w:ascii="Calibri" w:hAnsi="Calibri"/>
          <w:b/>
          <w:color w:val="2B2B2B"/>
          <w:sz w:val="22"/>
        </w:rPr>
        <w:t>ACA 3 — Diseño metodológico y anteproyecto FINAL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42%</w:t>
      </w:r>
      <w:r>
        <w:rPr>
          <w:rFonts w:ascii="Calibri" w:hAnsi="Calibri"/>
          <w:b w:val="0"/>
          <w:color w:val="2B2B2B"/>
          <w:sz w:val="22"/>
        </w:rPr>
        <w:t xml:space="preserve"> de la nota del curso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Integrar el </w:t>
      </w:r>
      <w:r>
        <w:rPr>
          <w:rFonts w:ascii="Calibri" w:hAnsi="Calibri"/>
          <w:b/>
          <w:color w:val="2B2B2B"/>
          <w:sz w:val="22"/>
        </w:rPr>
        <w:t>anteproyecto completo</w:t>
      </w:r>
      <w:r>
        <w:rPr>
          <w:rFonts w:ascii="Calibri" w:hAnsi="Calibri"/>
          <w:b w:val="0"/>
          <w:color w:val="2B2B2B"/>
          <w:sz w:val="22"/>
        </w:rPr>
        <w:t xml:space="preserve"> (ESP329 U5–U7): metodología </w:t>
      </w:r>
      <w:r>
        <w:rPr>
          <w:rFonts w:ascii="Calibri" w:hAnsi="Calibri"/>
          <w:b/>
          <w:color w:val="2B2B2B"/>
          <w:sz w:val="22"/>
        </w:rPr>
        <w:t>diseñada</w:t>
      </w:r>
      <w:r>
        <w:rPr>
          <w:rFonts w:ascii="Calibri" w:hAnsi="Calibri"/>
          <w:b w:val="0"/>
          <w:color w:val="2B2B2B"/>
          <w:sz w:val="22"/>
        </w:rPr>
        <w:t xml:space="preserve"> (no aplicada), planeación/viabilidad e integración coherente del documento. Producto de cierre de Proyecto I y base para Proyecto II.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Incorpora correcciones de </w:t>
      </w:r>
      <w:r>
        <w:rPr>
          <w:rFonts w:ascii="Calibri" w:hAnsi="Calibri"/>
          <w:b/>
          <w:color w:val="2B2B2B"/>
          <w:sz w:val="22"/>
        </w:rPr>
        <w:t>ACA 1 y ACA 2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Completa la </w:t>
      </w:r>
      <w:r>
        <w:rPr>
          <w:rFonts w:ascii="Calibri" w:hAnsi="Calibri"/>
          <w:b/>
          <w:color w:val="2B2B2B"/>
          <w:sz w:val="22"/>
        </w:rPr>
        <w:t>metodología</w:t>
      </w:r>
      <w:r>
        <w:rPr>
          <w:rFonts w:ascii="Calibri" w:hAnsi="Calibri"/>
          <w:b w:val="0"/>
          <w:color w:val="2B2B2B"/>
          <w:sz w:val="22"/>
        </w:rPr>
        <w:t xml:space="preserve">: paradigma/enfoque, tipo y alcance, diseño, población/muestra o unidades de análisis, variables/categorías, técnicas e </w:t>
      </w:r>
      <w:r>
        <w:rPr>
          <w:rFonts w:ascii="Calibri" w:hAnsi="Calibri"/>
          <w:b/>
          <w:color w:val="2B2B2B"/>
          <w:sz w:val="22"/>
        </w:rPr>
        <w:t>instrumentos propuestos</w:t>
      </w:r>
      <w:r>
        <w:rPr>
          <w:rFonts w:ascii="Calibri" w:hAnsi="Calibri"/>
          <w:b w:val="0"/>
          <w:color w:val="2B2B2B"/>
          <w:sz w:val="22"/>
        </w:rPr>
        <w:t xml:space="preserve"> (no aplicados), plan de análisis, ética.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Elabora </w:t>
      </w:r>
      <w:r>
        <w:rPr>
          <w:rFonts w:ascii="Calibri" w:hAnsi="Calibri"/>
          <w:b/>
          <w:color w:val="2B2B2B"/>
          <w:sz w:val="22"/>
        </w:rPr>
        <w:t>cronograma</w:t>
      </w:r>
      <w:r>
        <w:rPr>
          <w:rFonts w:ascii="Calibri" w:hAnsi="Calibri"/>
          <w:b w:val="0"/>
          <w:color w:val="2B2B2B"/>
          <w:sz w:val="22"/>
        </w:rPr>
        <w:t xml:space="preserve"> y </w:t>
      </w:r>
      <w:r>
        <w:rPr>
          <w:rFonts w:ascii="Calibri" w:hAnsi="Calibri"/>
          <w:b/>
          <w:color w:val="2B2B2B"/>
          <w:sz w:val="22"/>
        </w:rPr>
        <w:t>presupuesto</w:t>
      </w:r>
      <w:r>
        <w:rPr>
          <w:rFonts w:ascii="Calibri" w:hAnsi="Calibri"/>
          <w:b w:val="0"/>
          <w:color w:val="2B2B2B"/>
          <w:sz w:val="22"/>
        </w:rPr>
        <w:t xml:space="preserve"> (o recursos) viables para la continuidad del proyecto.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Integra todo el anteproyecto en un solo documento coherente (de portada a referencias).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Revisa integridad académica (similitud, citas, uso transparente de IA si la usaste).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Prepara el envío final grupal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Anteproyecto FINAL integrado</w:t>
      </w:r>
      <w:r>
        <w:rPr>
          <w:rFonts w:ascii="Calibri" w:hAnsi="Calibri"/>
          <w:b w:val="0"/>
          <w:color w:val="2B2B2B"/>
          <w:sz w:val="22"/>
        </w:rPr>
        <w:t xml:space="preserve"> (no un fragmento suelto) en plantilla APA CUN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Extensión orientativa: documento completo típico de anteproyecto de especialización (cuerpo suficiente para U2–U7).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Instrumentos solo </w:t>
      </w:r>
      <w:r>
        <w:rPr>
          <w:rFonts w:ascii="Calibri" w:hAnsi="Calibri"/>
          <w:b/>
          <w:color w:val="2B2B2B"/>
          <w:sz w:val="22"/>
        </w:rPr>
        <w:t>propuestos</w:t>
      </w:r>
      <w:r>
        <w:rPr>
          <w:rFonts w:ascii="Calibri" w:hAnsi="Calibri"/>
          <w:b w:val="0"/>
          <w:color w:val="2B2B2B"/>
          <w:sz w:val="22"/>
        </w:rPr>
        <w:t xml:space="preserve"> (anexos opcionales);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recolección de datos en Proyecto I.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de evaluación / checklist (ESP329)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Correcciones previas incorporadas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Metodología coherente con pregunta y objetivos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Instrumentos propuestos (no aplicados)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Cronograma y presupuesto/viabilidad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Coherencia global del anteproyecto  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Escritura, fuentes, integridad y viabilidad  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Tutorías: registra asistencia en https://forms.gle/oZ8xCYiUo3KEWr1d9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Las tutorías por grupo se acuerdan en la semana con el Docente (no hay atención espontánea sin cita).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Puente metodológico en </w:t>
      </w:r>
      <w:r>
        <w:rPr>
          <w:rFonts w:ascii="Calibri" w:hAnsi="Calibri"/>
          <w:b/>
          <w:color w:val="2B2B2B"/>
          <w:sz w:val="22"/>
        </w:rPr>
        <w:t>Sesión 08</w:t>
      </w:r>
      <w:r>
        <w:rPr>
          <w:rFonts w:ascii="Calibri" w:hAnsi="Calibri"/>
          <w:b w:val="0"/>
          <w:color w:val="2B2B2B"/>
          <w:sz w:val="22"/>
        </w:rPr>
        <w:t xml:space="preserve">; desarrollo ACA 3 en </w:t>
      </w:r>
      <w:r>
        <w:rPr>
          <w:rFonts w:ascii="Calibri" w:hAnsi="Calibri"/>
          <w:b/>
          <w:color w:val="2B2B2B"/>
          <w:sz w:val="22"/>
        </w:rPr>
        <w:t>Sesiones 09–10</w:t>
      </w:r>
      <w:r>
        <w:rPr>
          <w:rFonts w:ascii="Calibri" w:hAnsi="Calibri"/>
          <w:b w:val="0"/>
          <w:color w:val="2B2B2B"/>
          <w:sz w:val="22"/>
        </w:rPr>
        <w:t xml:space="preserve">; integración/cierre en </w:t>
      </w:r>
      <w:r>
        <w:rPr>
          <w:rFonts w:ascii="Calibri" w:hAnsi="Calibri"/>
          <w:b/>
          <w:color w:val="2B2B2B"/>
          <w:sz w:val="22"/>
        </w:rPr>
        <w:t>Sesión 11</w:t>
      </w:r>
      <w:r>
        <w:rPr>
          <w:rFonts w:ascii="Calibri" w:hAnsi="Calibri"/>
          <w:b w:val="0"/>
          <w:color w:val="2B2B2B"/>
          <w:sz w:val="22"/>
        </w:rPr>
        <w:t>. Usa tutorías acordadas en la semana con el Docente: hay pocas sesiones sincrónicas en esta fase.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enunciado: Fechas OFICIALES de Coordinación (Cronograma_Proyecto_I_II_Especializaciones_26ES4.pdf); no se calculan por pesos. Cierre y registro de todas las notas: 22/11/2026.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Enunciado ACA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