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octubre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20/10/2026 – cierre 27/10/2026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2%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2%.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(27/10/2026)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(29/09/2026) — Fase III de referentes · cierre del marco teórico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(06/10/2026) — Resultados, discusión y relación con referentes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(13/10/2026) — Resumen, palabras clave UNESCO, conclusiones y referencias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(20/10/2026) — Póster · evidencias · verificación antiplagio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(13/10/2026): Sesión 10, Sesión 11.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(27/10/2026 — Sustentación ante jurados)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sigue siendo materia del curso y de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artículo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artículo</w:t>
      </w:r>
      <w:r>
        <w:rPr>
          <w:rFonts w:ascii="Calibri" w:hAnsi="Calibri"/>
          <w:b w:val="0"/>
          <w:color w:val="2B2B2B"/>
          <w:sz w:val="22"/>
        </w:rPr>
        <w:t xml:space="preserve">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Comunidades de práctica y co-creación:</w:t>
      </w:r>
      <w:r>
        <w:rPr>
          <w:rFonts w:ascii="Calibri" w:hAnsi="Calibri"/>
          <w:b w:val="0"/>
          <w:color w:val="2B2B2B"/>
          <w:sz w:val="22"/>
        </w:rPr>
        <w:t xml:space="preserve"> Ten claro qué es una </w:t>
      </w:r>
      <w:r>
        <w:rPr>
          <w:rFonts w:ascii="Calibri" w:hAnsi="Calibri"/>
          <w:b/>
          <w:color w:val="2B2B2B"/>
          <w:sz w:val="22"/>
        </w:rPr>
        <w:t>comunidad de práctica</w:t>
      </w:r>
      <w:r>
        <w:rPr>
          <w:rFonts w:ascii="Calibri" w:hAnsi="Calibri"/>
          <w:b w:val="0"/>
          <w:color w:val="2B2B2B"/>
          <w:sz w:val="22"/>
        </w:rPr>
        <w:t xml:space="preserve"> y qué aporta la </w:t>
      </w:r>
      <w:r>
        <w:rPr>
          <w:rFonts w:ascii="Calibri" w:hAnsi="Calibri"/>
          <w:b/>
          <w:color w:val="2B2B2B"/>
          <w:sz w:val="22"/>
        </w:rPr>
        <w:t>co-creación</w:t>
      </w:r>
      <w:r>
        <w:rPr>
          <w:rFonts w:ascii="Calibri" w:hAnsi="Calibri"/>
          <w:b w:val="0"/>
          <w:color w:val="2B2B2B"/>
          <w:sz w:val="22"/>
        </w:rPr>
        <w:t xml:space="preserve"> a un proyecto como el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Experiencia creativa · análisis de datos: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dato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hallazgo</w:t>
      </w:r>
      <w:r>
        <w:rPr>
          <w:rFonts w:ascii="Calibri" w:hAnsi="Calibri"/>
          <w:b w:val="0"/>
          <w:color w:val="2B2B2B"/>
          <w:sz w:val="22"/>
        </w:rPr>
        <w:t xml:space="preserve"> e </w:t>
      </w:r>
      <w:r>
        <w:rPr>
          <w:rFonts w:ascii="Calibri" w:hAnsi="Calibri"/>
          <w:b/>
          <w:color w:val="2B2B2B"/>
          <w:sz w:val="22"/>
        </w:rPr>
        <w:t>interpretación</w:t>
      </w:r>
      <w:r>
        <w:rPr>
          <w:rFonts w:ascii="Calibri" w:hAnsi="Calibri"/>
          <w:b w:val="0"/>
          <w:color w:val="2B2B2B"/>
          <w:sz w:val="22"/>
        </w:rPr>
        <w:t xml:space="preserve"> al analizar tu experiencia creativa.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 — Fase III de referentes · cierre del marco teórico:</w:t>
      </w:r>
      <w:r>
        <w:rPr>
          <w:rFonts w:ascii="Calibri" w:hAnsi="Calibri"/>
          <w:b w:val="0"/>
          <w:color w:val="2B2B2B"/>
          <w:sz w:val="22"/>
        </w:rPr>
        <w:t xml:space="preserve"> Aprende a cerrar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(Fase III de referentes): una revisión literaria articulada, no una lista de autores.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 — Resultados, discusión y relación con referentes:</w:t>
      </w:r>
      <w:r>
        <w:rPr>
          <w:rFonts w:ascii="Calibri" w:hAnsi="Calibri"/>
          <w:b w:val="0"/>
          <w:color w:val="2B2B2B"/>
          <w:sz w:val="22"/>
        </w:rPr>
        <w:t xml:space="preserve"> Aprende a contrastar tus </w:t>
      </w:r>
      <w:r>
        <w:rPr>
          <w:rFonts w:ascii="Calibri" w:hAnsi="Calibri"/>
          <w:b/>
          <w:color w:val="2B2B2B"/>
          <w:sz w:val="22"/>
        </w:rPr>
        <w:t>resultados</w:t>
      </w:r>
      <w:r>
        <w:rPr>
          <w:rFonts w:ascii="Calibri" w:hAnsi="Calibri"/>
          <w:b w:val="0"/>
          <w:color w:val="2B2B2B"/>
          <w:sz w:val="22"/>
        </w:rPr>
        <w:t xml:space="preserve"> con la literatura: eso es la </w:t>
      </w:r>
      <w:r>
        <w:rPr>
          <w:rFonts w:ascii="Calibri" w:hAnsi="Calibri"/>
          <w:b/>
          <w:color w:val="2B2B2B"/>
          <w:sz w:val="22"/>
        </w:rPr>
        <w:t>discusión</w:t>
      </w:r>
      <w:r>
        <w:rPr>
          <w:rFonts w:ascii="Calibri" w:hAnsi="Calibri"/>
          <w:b w:val="0"/>
          <w:color w:val="2B2B2B"/>
          <w:sz w:val="22"/>
        </w:rPr>
        <w:t>, no un resumen de lo que hiciste.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10 — Resumen, palabras clave UNESCO, conclusiones y referencias:</w:t>
      </w:r>
      <w:r>
        <w:rPr>
          <w:rFonts w:ascii="Calibri" w:hAnsi="Calibri"/>
          <w:b w:val="0"/>
          <w:color w:val="2B2B2B"/>
          <w:sz w:val="22"/>
        </w:rPr>
        <w:t xml:space="preserve"> Ten claro qué lleva un </w:t>
      </w:r>
      <w:r>
        <w:rPr>
          <w:rFonts w:ascii="Calibri" w:hAnsi="Calibri"/>
          <w:b/>
          <w:color w:val="2B2B2B"/>
          <w:sz w:val="22"/>
        </w:rPr>
        <w:t>resumen</w:t>
      </w:r>
      <w:r>
        <w:rPr>
          <w:rFonts w:ascii="Calibri" w:hAnsi="Calibri"/>
          <w:b w:val="0"/>
          <w:color w:val="2B2B2B"/>
          <w:sz w:val="22"/>
        </w:rPr>
        <w:t xml:space="preserve">, cómo se eligen las </w:t>
      </w:r>
      <w:r>
        <w:rPr>
          <w:rFonts w:ascii="Calibri" w:hAnsi="Calibri"/>
          <w:b/>
          <w:color w:val="2B2B2B"/>
          <w:sz w:val="22"/>
        </w:rPr>
        <w:t>palabras clave UNESCO</w:t>
      </w:r>
      <w:r>
        <w:rPr>
          <w:rFonts w:ascii="Calibri" w:hAnsi="Calibri"/>
          <w:b w:val="0"/>
          <w:color w:val="2B2B2B"/>
          <w:sz w:val="22"/>
        </w:rPr>
        <w:t xml:space="preserve"> y qué separa una </w:t>
      </w:r>
      <w:r>
        <w:rPr>
          <w:rFonts w:ascii="Calibri" w:hAnsi="Calibri"/>
          <w:b/>
          <w:color w:val="2B2B2B"/>
          <w:sz w:val="22"/>
        </w:rPr>
        <w:t>conclusión</w:t>
      </w:r>
      <w:r>
        <w:rPr>
          <w:rFonts w:ascii="Calibri" w:hAnsi="Calibri"/>
          <w:b w:val="0"/>
          <w:color w:val="2B2B2B"/>
          <w:sz w:val="22"/>
        </w:rPr>
        <w:t xml:space="preserve"> de un resultado.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y el mínimo de </w:t>
      </w:r>
      <w:r>
        <w:rPr>
          <w:rFonts w:ascii="Calibri" w:hAnsi="Calibri"/>
          <w:b/>
          <w:color w:val="2B2B2B"/>
          <w:sz w:val="22"/>
        </w:rPr>
        <w:t>50 referencias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11 — Póster · evidencias · verificación antiplagio:</w:t>
      </w:r>
      <w:r>
        <w:rPr>
          <w:rFonts w:ascii="Calibri" w:hAnsi="Calibri"/>
          <w:b w:val="0"/>
          <w:color w:val="2B2B2B"/>
          <w:sz w:val="22"/>
        </w:rPr>
        <w:t xml:space="preserve"> Repasa qué debe mostrar el </w:t>
      </w:r>
      <w:r>
        <w:rPr>
          <w:rFonts w:ascii="Calibri" w:hAnsi="Calibri"/>
          <w:b/>
          <w:color w:val="2B2B2B"/>
          <w:sz w:val="22"/>
        </w:rPr>
        <w:t>póster</w:t>
      </w:r>
      <w:r>
        <w:rPr>
          <w:rFonts w:ascii="Calibri" w:hAnsi="Calibri"/>
          <w:b w:val="0"/>
          <w:color w:val="2B2B2B"/>
          <w:sz w:val="22"/>
        </w:rPr>
        <w:t xml:space="preserve">, qué evidencias van como anexo y en qué consiste la </w:t>
      </w: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(Sustentación ante jurados),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(Póster · evidencias · verificación antiplagio). Es el último cuestionario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