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26ET2-G-004 — Incidencia de la gestión del cambio en la adopción de nuevas tecnologías aplicadas a los sistemas de seguridad electrónica desde la perspectiva del usuario final</w:t>
      </w:r>
    </w:p>
    <w:p>
      <w:r>
        <w:rPr>
          <w:rFonts w:ascii="Calibri" w:hAnsi="Calibri"/>
          <w:b/>
          <w:color w:val="2B2B2B"/>
          <w:sz w:val="22"/>
        </w:rPr>
        <w:t>Sustentación:</w:t>
      </w:r>
      <w:r>
        <w:rPr>
          <w:rFonts w:ascii="Calibri" w:hAnsi="Calibri"/>
          <w:b w:val="0"/>
          <w:color w:val="2B2B2B"/>
          <w:sz w:val="22"/>
        </w:rPr>
        <w:t xml:space="preserve"> martes 18 de agosto · 7:00 p. m. – 7:20 p. m. (bloque 6:00–9:00 p. 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Christian Camilo Cruz Romero (christian.cruzr@cun.edu.co), Edgardo Rangel Rodríguez (edgardo.rangel@cun.edu.co)</w:t>
      </w:r>
    </w:p>
    <w:p>
      <w:r>
        <w:rPr>
          <w:rFonts w:ascii="Calibri" w:hAnsi="Calibri"/>
          <w:b/>
          <w:color w:val="2B2B2B"/>
          <w:sz w:val="22"/>
        </w:rPr>
        <w:t>Línea:</w:t>
      </w:r>
      <w:r>
        <w:rPr>
          <w:rFonts w:ascii="Calibri" w:hAnsi="Calibri"/>
          <w:b w:val="0"/>
          <w:color w:val="2B2B2B"/>
          <w:sz w:val="22"/>
        </w:rPr>
        <w:t xml:space="preserve"> Ingeniería y Tecnología</w:t>
      </w:r>
    </w:p>
    <w:p>
      <w:r>
        <w:rPr>
          <w:rFonts w:ascii="Calibri" w:hAnsi="Calibri"/>
          <w:b/>
          <w:color w:val="2B2B2B"/>
          <w:sz w:val="22"/>
        </w:rPr>
        <w:t>Documentos leídos:</w:t>
      </w:r>
      <w:r>
        <w:rPr>
          <w:rFonts w:ascii="Calibri" w:hAnsi="Calibri"/>
          <w:b w:val="0"/>
          <w:color w:val="2B2B2B"/>
          <w:sz w:val="22"/>
        </w:rPr>
        <w:t xml:space="preserve"> </w:t>
      </w:r>
      <w:r>
        <w:rPr>
          <w:rFonts w:ascii="Consolas" w:hAnsi="Consolas"/>
          <w:color w:val="111111"/>
          <w:sz w:val="21"/>
        </w:rPr>
        <w:t>PROYECTO_DE _GRAD_II_ChristianCruz_EdgardoRangel.V10.pdf</w:t>
      </w:r>
      <w:r>
        <w:rPr>
          <w:rFonts w:ascii="Calibri" w:hAnsi="Calibri"/>
          <w:b w:val="0"/>
          <w:color w:val="2B2B2B"/>
          <w:sz w:val="22"/>
        </w:rPr>
        <w:t xml:space="preserve"> (140 páginas; es la única versión del trabajo en la carpeta y la de mayor número de versión, V10) · </w:t>
      </w:r>
      <w:r>
        <w:rPr>
          <w:rFonts w:ascii="Consolas" w:hAnsi="Consolas"/>
          <w:color w:val="111111"/>
          <w:sz w:val="21"/>
        </w:rPr>
        <w:t>PRESENTACION_PROYECTO_DE _GRAD_II_ChristianCruz_EdgardoRangel V7.pdf</w:t>
      </w:r>
      <w:r>
        <w:rPr>
          <w:rFonts w:ascii="Calibri" w:hAnsi="Calibri"/>
          <w:b w:val="0"/>
          <w:color w:val="2B2B2B"/>
          <w:sz w:val="22"/>
        </w:rPr>
        <w:t xml:space="preserve"> (32 diapositivas)</w:t>
      </w:r>
    </w:p>
    <w:p>
      <w:r>
        <w:rPr>
          <w:rFonts w:ascii="Calibri" w:hAnsi="Calibri"/>
          <w:b/>
          <w:color w:val="2B2B2B"/>
          <w:sz w:val="22"/>
        </w:rPr>
        <w:t>Director del proyecto según portada (p. 1) y diapositiva 1:</w:t>
      </w:r>
      <w:r>
        <w:rPr>
          <w:rFonts w:ascii="Calibri" w:hAnsi="Calibri"/>
          <w:b w:val="0"/>
          <w:color w:val="2B2B2B"/>
          <w:sz w:val="22"/>
        </w:rPr>
        <w:t xml:space="preserve"> PhD. María Fernanda Rivera Sanclemente — quien además moderará la sesión.</w:t>
      </w:r>
    </w:p>
    <w:p>
      <w:pPr>
        <w:spacing w:before="200" w:after="60"/>
      </w:pPr>
      <w:r>
        <w:rPr>
          <w:rFonts w:ascii="Calibri" w:hAnsi="Calibri"/>
          <w:b/>
          <w:color w:val="007433"/>
          <w:sz w:val="32"/>
        </w:rPr>
        <w:t>1. Resumen para leer en 5 minutos</w:t>
      </w:r>
    </w:p>
    <w:p>
      <w:r>
        <w:rPr>
          <w:rFonts w:ascii="Calibri" w:hAnsi="Calibri"/>
          <w:b w:val="0"/>
          <w:color w:val="2B2B2B"/>
          <w:sz w:val="22"/>
        </w:rPr>
        <w:t>Estudio sobre la incidencia de las estrategias de gestión del cambio —capacitación, comunicación y acompañamiento— en la adopción de tecnologías de seguridad electrónica (biometría, videovigilancia, control de acceso) desde la percepción del usuario final, en una entidad pública anonimizada como «XXXXXX» (p. 85) y delimitado al edificio de Nivel Central (p. 24). Enfoque cuantitativo, alcance descriptivo–correlacional (p. 37). No interviene técnicamente los sistemas: el alcance es organizacional y humano (p. 24).</w:t>
      </w:r>
    </w:p>
    <w:p>
      <w:r>
        <w:rPr>
          <w:rFonts w:ascii="Calibri" w:hAnsi="Calibri"/>
          <w:b w:val="0"/>
          <w:color w:val="2B2B2B"/>
          <w:sz w:val="22"/>
        </w:rPr>
        <w:t>Instrumento: encuesta estructurada en Microsoft Forms, 9 ítems Likert 1–5 más un ítem 0–10 de disposición futura (p. 55), con consentimiento informado obligatorio bajo Ley 1581 de 2012 (p. 74). Validada con un piloto de 30 funcionarios de la Unidad de Seguridad y alfa de Cronbach de 0,924 (pp. 75–77). Base final: 1.000 registros, exportados a CSV y almacenados en SharePoint con acceso restringido; procesamiento en Power BI (pp. 57–58, 70).</w:t>
      </w:r>
    </w:p>
    <w:p>
      <w:r>
        <w:rPr>
          <w:rFonts w:ascii="Calibri" w:hAnsi="Calibri"/>
          <w:b w:val="0"/>
          <w:color w:val="2B2B2B"/>
          <w:sz w:val="22"/>
        </w:rPr>
        <w:t xml:space="preserve">Resultados por objetivo. </w:t>
      </w:r>
      <w:r>
        <w:rPr>
          <w:rFonts w:ascii="Calibri" w:hAnsi="Calibri"/>
          <w:b/>
          <w:color w:val="2B2B2B"/>
          <w:sz w:val="22"/>
        </w:rPr>
        <w:t>(1)</w:t>
      </w:r>
      <w:r>
        <w:rPr>
          <w:rFonts w:ascii="Calibri" w:hAnsi="Calibri"/>
          <w:b w:val="0"/>
          <w:color w:val="2B2B2B"/>
          <w:sz w:val="22"/>
        </w:rPr>
        <w:t xml:space="preserve"> Inventario documental de seis estrategias existentes con procedimiento, responsable y evidencia —inducción, reinducción bienal, circulares SIGECI, Semana de la Seguridad, Mes de la Ciber y acompañamiento contractual— (Tabla 8, pp. 85–87). </w:t>
      </w:r>
      <w:r>
        <w:rPr>
          <w:rFonts w:ascii="Calibri" w:hAnsi="Calibri"/>
          <w:b/>
          <w:color w:val="2B2B2B"/>
          <w:sz w:val="22"/>
        </w:rPr>
        <w:t>(2)</w:t>
      </w:r>
      <w:r>
        <w:rPr>
          <w:rFonts w:ascii="Calibri" w:hAnsi="Calibri"/>
          <w:b w:val="0"/>
          <w:color w:val="2B2B2B"/>
          <w:sz w:val="22"/>
        </w:rPr>
        <w:t xml:space="preserve"> Diagnóstico descriptivo: la capacitación es el eslabón más débil, con 64,5 % de respuestas en zona media-baja (P6, p. 88); 83,3 % comprende el propósito de la tecnología (P1) y 87,7 % la percibe como protección y no como control (P2, p. 89); 38,7 % no percibe oportuna la información (P9, p. 90); 67,6 % sintió acompañamiento adecuado (P8, p. 91). Brecha por cargo: auxiliares 3,48 en gestión frente a 3,67–3,85 en profesionales, asesores y directivos (p. 97). </w:t>
      </w:r>
      <w:r>
        <w:rPr>
          <w:rFonts w:ascii="Calibri" w:hAnsi="Calibri"/>
          <w:b/>
          <w:color w:val="2B2B2B"/>
          <w:sz w:val="22"/>
        </w:rPr>
        <w:t>(3)</w:t>
      </w:r>
      <w:r>
        <w:rPr>
          <w:rFonts w:ascii="Calibri" w:hAnsi="Calibri"/>
          <w:b w:val="0"/>
          <w:color w:val="2B2B2B"/>
          <w:sz w:val="22"/>
        </w:rPr>
        <w:t xml:space="preserve"> Relación gestión–adopción: Spearman global 0,052 (p. 101) y modelo OLS con R² = 0,003 y p = 0,063, «carecen de significancia estadística» (p. 102); el propio documento interpreta que el uso se explica por la obligatoriedad de pasar por los controles de acceso, no por la gestión (p. 101). </w:t>
      </w:r>
      <w:r>
        <w:rPr>
          <w:rFonts w:ascii="Calibri" w:hAnsi="Calibri"/>
          <w:b/>
          <w:color w:val="2B2B2B"/>
          <w:sz w:val="22"/>
        </w:rPr>
        <w:t>(4)</w:t>
      </w:r>
      <w:r>
        <w:rPr>
          <w:rFonts w:ascii="Calibri" w:hAnsi="Calibri"/>
          <w:b w:val="0"/>
          <w:color w:val="2B2B2B"/>
          <w:sz w:val="22"/>
        </w:rPr>
        <w:t xml:space="preserve"> Producto funcional: Estrategia de Sostenibilidad en tres líneas —laboratorios de simulación con formación diferenciada, Red Institucional de Líderes Tecnológicos y Programa Institucional de Retroalimentación Tecnológica— con responsables, riesgos, criterios de éxito, indicadores propuestos (Tablas 10 y 11, pp. 119 y 126–127) y horizonte de 2027 (p. 121). Fue revisada favorablemente por una mesa de nueve expertos internos (p. 108) y </w:t>
      </w:r>
      <w:r>
        <w:rPr>
          <w:rFonts w:ascii="Calibri" w:hAnsi="Calibri"/>
          <w:b/>
          <w:color w:val="2B2B2B"/>
          <w:sz w:val="22"/>
        </w:rPr>
        <w:t>no</w:t>
      </w:r>
      <w:r>
        <w:rPr>
          <w:rFonts w:ascii="Calibri" w:hAnsi="Calibri"/>
          <w:b w:val="0"/>
          <w:color w:val="2B2B2B"/>
          <w:sz w:val="22"/>
        </w:rPr>
        <w:t xml:space="preserve"> implementada ni probada con usuarios, lo cual el documento declara con claridad (pp. 120, 132).</w:t>
      </w:r>
    </w:p>
    <w:p>
      <w:r>
        <w:rPr>
          <w:rFonts w:ascii="Calibri" w:hAnsi="Calibri"/>
          <w:b w:val="0"/>
          <w:color w:val="2B2B2B"/>
          <w:sz w:val="22"/>
        </w:rPr>
        <w:t>*(≈390 palabras)*</w:t>
      </w:r>
    </w:p>
    <w:p>
      <w:pPr>
        <w:spacing w:before="200" w:after="60"/>
      </w:pPr>
      <w:r>
        <w:rPr>
          <w:rFonts w:ascii="Calibri" w:hAnsi="Calibri"/>
          <w:b/>
          <w:color w:val="007433"/>
          <w:sz w:val="32"/>
        </w:rPr>
        <w:t>2. Coherencia título → objetivo → resultados</w:t>
      </w:r>
    </w:p>
    <w:p>
      <w:r>
        <w:rPr>
          <w:rFonts w:ascii="Calibri" w:hAnsi="Calibri"/>
          <w:b w:val="0"/>
          <w:color w:val="2B2B2B"/>
          <w:sz w:val="22"/>
        </w:rPr>
        <w:t>Título (p. 1), pregunta de investigación (p. 20) y objetivo general (p. 20) dicen lo mismo: *determinar la incidencia* de las estrategias de gestión del cambio en la adopción. El verbo «determinar la incidencia» obliga a un resultado inferencial, y ahí está el nudo del documento (ver fila del objetivo 3).</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 (p. N)</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val="0"/>
                <w:color w:val="2B2B2B"/>
                <w:sz w:val="20"/>
              </w:rPr>
              <w:t>1. Identificar las estrategias de gestión del cambio implementadas en la entidad</w:t>
            </w:r>
          </w:p>
        </w:tc>
        <w:tc>
          <w:tcPr>
            <w:tcW w:type="dxa" w:w="2448"/>
          </w:tcPr>
          <w:p>
            <w:r/>
            <w:r>
              <w:rPr>
                <w:rFonts w:ascii="Calibri" w:hAnsi="Calibri"/>
                <w:b/>
                <w:color w:val="2B2B2B"/>
                <w:sz w:val="20"/>
              </w:rPr>
              <w:t>Sí</w:t>
            </w:r>
          </w:p>
        </w:tc>
        <w:tc>
          <w:tcPr>
            <w:tcW w:type="dxa" w:w="2448"/>
          </w:tcPr>
          <w:p>
            <w:r/>
            <w:r>
              <w:rPr>
                <w:rFonts w:ascii="Calibri" w:hAnsi="Calibri"/>
                <w:b w:val="0"/>
                <w:color w:val="2B2B2B"/>
                <w:sz w:val="20"/>
              </w:rPr>
              <w:t>Tabla 8 con seis estrategias, procedimiento codificado (GTH-03-PR-001/002, RSC-02-PO-003), circulares SIGECI 001-2021 y 015-2025 y tres contratos de implementación (pp. 85–87)</w:t>
            </w:r>
          </w:p>
        </w:tc>
        <w:tc>
          <w:tcPr>
            <w:tcW w:type="dxa" w:w="2448"/>
          </w:tcPr>
          <w:p>
            <w:r/>
            <w:r>
              <w:rPr>
                <w:rFonts w:ascii="Calibri" w:hAnsi="Calibri"/>
                <w:b w:val="0"/>
                <w:color w:val="2B2B2B"/>
                <w:sz w:val="20"/>
              </w:rPr>
              <w:t>Los porcentajes de la columna «Población impactada» (80 %, 90 %, 100 %) no tienen fuente citada; el texto solo dice «se observa una participación alta» (pp. 86–87)</w:t>
            </w:r>
          </w:p>
        </w:tc>
      </w:tr>
      <w:tr>
        <w:tc>
          <w:tcPr>
            <w:tcW w:type="dxa" w:w="2448"/>
            <w:shd w:val="clear" w:fill="F5F7F5"/>
            <w:shd w:val="clear" w:fill="F5F7F5"/>
          </w:tcPr>
          <w:p>
            <w:r/>
            <w:r>
              <w:rPr>
                <w:rFonts w:ascii="Calibri" w:hAnsi="Calibri"/>
                <w:b w:val="0"/>
                <w:color w:val="2B2B2B"/>
                <w:sz w:val="20"/>
              </w:rPr>
              <w:t>2. Analizar el efecto de capacitación, comunicación y acompañamiento sobre el uso</w:t>
            </w:r>
          </w:p>
        </w:tc>
        <w:tc>
          <w:tcPr>
            <w:tcW w:type="dxa" w:w="2448"/>
            <w:shd w:val="clear" w:fill="F5F7F5"/>
            <w:shd w:val="clear" w:fill="F5F7F5"/>
          </w:tcPr>
          <w:p>
            <w:r/>
            <w:r>
              <w:rPr>
                <w:rFonts w:ascii="Calibri" w:hAnsi="Calibri"/>
                <w:b/>
                <w:color w:val="2B2B2B"/>
                <w:sz w:val="20"/>
              </w:rPr>
              <w:t>Sí, en lo descriptivo</w:t>
            </w:r>
          </w:p>
        </w:tc>
        <w:tc>
          <w:tcPr>
            <w:tcW w:type="dxa" w:w="2448"/>
            <w:shd w:val="clear" w:fill="F5F7F5"/>
            <w:shd w:val="clear" w:fill="F5F7F5"/>
          </w:tcPr>
          <w:p>
            <w:r/>
            <w:r>
              <w:rPr>
                <w:rFonts w:ascii="Calibri" w:hAnsi="Calibri"/>
                <w:b w:val="0"/>
                <w:color w:val="2B2B2B"/>
                <w:sz w:val="20"/>
              </w:rPr>
              <w:t>Semáforos y radares por ítem (pp. 88–93), índices de Gestión y de Adopción (pp. 93–95), cruces por antigüedad y cargo (pp. 96–97)</w:t>
            </w:r>
          </w:p>
        </w:tc>
        <w:tc>
          <w:tcPr>
            <w:tcW w:type="dxa" w:w="2448"/>
            <w:shd w:val="clear" w:fill="F5F7F5"/>
            <w:shd w:val="clear" w:fill="F5F7F5"/>
          </w:tcPr>
          <w:p>
            <w:r/>
            <w:r>
              <w:rPr>
                <w:rFonts w:ascii="Calibri" w:hAnsi="Calibri"/>
                <w:b w:val="0"/>
                <w:color w:val="2B2B2B"/>
                <w:sz w:val="20"/>
              </w:rPr>
              <w:t xml:space="preserve">Los índices IND_CAPAC e IND_ACOMP se construyen con </w:t>
            </w:r>
            <w:r>
              <w:rPr>
                <w:rFonts w:ascii="Calibri" w:hAnsi="Calibri"/>
                <w:b/>
                <w:color w:val="2B2B2B"/>
                <w:sz w:val="20"/>
              </w:rPr>
              <w:t>un solo ítem</w:t>
            </w:r>
            <w:r>
              <w:rPr>
                <w:rFonts w:ascii="Calibri" w:hAnsi="Calibri"/>
                <w:b w:val="0"/>
                <w:color w:val="2B2B2B"/>
                <w:sz w:val="20"/>
              </w:rPr>
              <w:t xml:space="preserve"> cada uno (P6 y P8, p. 100), lo que limita lo que puede afirmarse de esas dimensiones</w:t>
            </w:r>
          </w:p>
        </w:tc>
      </w:tr>
      <w:tr>
        <w:tc>
          <w:tcPr>
            <w:tcW w:type="dxa" w:w="2448"/>
          </w:tcPr>
          <w:p>
            <w:r/>
            <w:r>
              <w:rPr>
                <w:rFonts w:ascii="Calibri" w:hAnsi="Calibri"/>
                <w:b w:val="0"/>
                <w:color w:val="2B2B2B"/>
                <w:sz w:val="20"/>
              </w:rPr>
              <w:t>3. Establecer la relación entre estrategias y nivel de adopción</w:t>
            </w:r>
          </w:p>
        </w:tc>
        <w:tc>
          <w:tcPr>
            <w:tcW w:type="dxa" w:w="2448"/>
          </w:tcPr>
          <w:p>
            <w:r/>
            <w:r>
              <w:rPr>
                <w:rFonts w:ascii="Calibri" w:hAnsi="Calibri"/>
                <w:b/>
                <w:color w:val="2B2B2B"/>
                <w:sz w:val="20"/>
              </w:rPr>
              <w:t>Se ejecutó, pero el documento reporta dos resultados incompatibles</w:t>
            </w:r>
          </w:p>
        </w:tc>
        <w:tc>
          <w:tcPr>
            <w:tcW w:type="dxa" w:w="2448"/>
          </w:tcPr>
          <w:p>
            <w:r/>
            <w:r>
              <w:rPr>
                <w:rFonts w:ascii="Calibri" w:hAnsi="Calibri"/>
                <w:b w:val="0"/>
                <w:color w:val="2B2B2B"/>
                <w:sz w:val="20"/>
              </w:rPr>
              <w:t xml:space="preserve">OLS con p = 0,000, β = 0,5746 y R² = 0,076, presentado como «incidencia directa, positiva y científicamente probada» (pp. 98–99) </w:t>
            </w:r>
            <w:r>
              <w:rPr>
                <w:rFonts w:ascii="Calibri" w:hAnsi="Calibri"/>
                <w:b/>
                <w:color w:val="2B2B2B"/>
                <w:sz w:val="20"/>
              </w:rPr>
              <w:t>frente a</w:t>
            </w:r>
            <w:r>
              <w:rPr>
                <w:rFonts w:ascii="Calibri" w:hAnsi="Calibri"/>
                <w:b w:val="0"/>
                <w:color w:val="2B2B2B"/>
                <w:sz w:val="20"/>
              </w:rPr>
              <w:t xml:space="preserve"> Spearman global 0,052 (p. 101) y OLS con R² = 0,003 y p = 0,063, «sin significancia estadística» (p. 102)</w:t>
            </w:r>
          </w:p>
        </w:tc>
        <w:tc>
          <w:tcPr>
            <w:tcW w:type="dxa" w:w="2448"/>
          </w:tcPr>
          <w:p>
            <w:r/>
            <w:r>
              <w:rPr>
                <w:rFonts w:ascii="Calibri" w:hAnsi="Calibri"/>
                <w:b w:val="0"/>
                <w:color w:val="2B2B2B"/>
                <w:sz w:val="20"/>
              </w:rPr>
              <w:t>El documento no explica qué cambió entre un modelo y el otro, y el resumen (p. 11) afirma que las tres dimensiones «inciden significativamente», lo que contradice la p. 102</w:t>
            </w:r>
          </w:p>
        </w:tc>
      </w:tr>
      <w:tr>
        <w:tc>
          <w:tcPr>
            <w:tcW w:type="dxa" w:w="2448"/>
            <w:shd w:val="clear" w:fill="F5F7F5"/>
            <w:shd w:val="clear" w:fill="F5F7F5"/>
          </w:tcPr>
          <w:p>
            <w:r/>
            <w:r>
              <w:rPr>
                <w:rFonts w:ascii="Calibri" w:hAnsi="Calibri"/>
                <w:b w:val="0"/>
                <w:color w:val="2B2B2B"/>
                <w:sz w:val="20"/>
              </w:rPr>
              <w:t>4. Diseñar una estrategia de sostenibilidad</w:t>
            </w:r>
          </w:p>
        </w:tc>
        <w:tc>
          <w:tcPr>
            <w:tcW w:type="dxa" w:w="2448"/>
            <w:shd w:val="clear" w:fill="F5F7F5"/>
            <w:shd w:val="clear" w:fill="F5F7F5"/>
          </w:tcPr>
          <w:p>
            <w:r/>
            <w:r>
              <w:rPr>
                <w:rFonts w:ascii="Calibri" w:hAnsi="Calibri"/>
                <w:b/>
                <w:color w:val="2B2B2B"/>
                <w:sz w:val="20"/>
              </w:rPr>
              <w:t>Sí</w:t>
            </w:r>
          </w:p>
        </w:tc>
        <w:tc>
          <w:tcPr>
            <w:tcW w:type="dxa" w:w="2448"/>
            <w:shd w:val="clear" w:fill="F5F7F5"/>
            <w:shd w:val="clear" w:fill="F5F7F5"/>
          </w:tcPr>
          <w:p>
            <w:r/>
            <w:r>
              <w:rPr>
                <w:rFonts w:ascii="Calibri" w:hAnsi="Calibri"/>
                <w:b w:val="0"/>
                <w:color w:val="2B2B2B"/>
                <w:sz w:val="20"/>
              </w:rPr>
              <w:t>Capítulo 11 completo: estructura (pp. 110–112), tres líneas (pp. 112–129), responsables, riesgos, recursos, horizonte 2027 y consideraciones de implementación (pp. 130–132)</w:t>
            </w:r>
          </w:p>
        </w:tc>
        <w:tc>
          <w:tcPr>
            <w:tcW w:type="dxa" w:w="2448"/>
            <w:shd w:val="clear" w:fill="F5F7F5"/>
            <w:shd w:val="clear" w:fill="F5F7F5"/>
          </w:tcPr>
          <w:p>
            <w:r/>
            <w:r>
              <w:rPr>
                <w:rFonts w:ascii="Calibri" w:hAnsi="Calibri"/>
                <w:b w:val="0"/>
                <w:color w:val="2B2B2B"/>
                <w:sz w:val="20"/>
              </w:rPr>
              <w:t>La Línea I anuncia indicadores pero no los presenta en tabla (p. 116); solo las Líneas II y III tienen tabla (Tablas 10 y 11)</w:t>
            </w:r>
          </w:p>
        </w:tc>
      </w:tr>
    </w:tbl>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Los cuatro objetivos específicos tienen sección de resultados propia y rotulada</w:t>
      </w:r>
      <w:r>
        <w:rPr>
          <w:rFonts w:ascii="Calibri" w:hAnsi="Calibri"/>
          <w:b w:val="0"/>
          <w:color w:val="2B2B2B"/>
          <w:sz w:val="22"/>
        </w:rPr>
        <w:t xml:space="preserve"> con el enunciado literal del objetivo (pp. 85, 88, 100, 104). Es trazable de principio a fin, incluida una matriz de hallazgos que conecta cada resultado con la línea estratégica que lo atiende (Tabla 9, pp. 104–107).</w:t>
      </w:r>
    </w:p>
    <w:p>
      <w:pPr>
        <w:pStyle w:val="ListNumber"/>
      </w:pPr>
      <w:r>
        <w:rPr>
          <w:rFonts w:ascii="Calibri" w:hAnsi="Calibri"/>
          <w:b/>
          <w:color w:val="2B2B2B"/>
          <w:sz w:val="22"/>
        </w:rPr>
        <w:t>El objetivo 1 se resuelve con evidencia documental real, no con opinión</w:t>
      </w:r>
      <w:r>
        <w:rPr>
          <w:rFonts w:ascii="Calibri" w:hAnsi="Calibri"/>
          <w:b w:val="0"/>
          <w:color w:val="2B2B2B"/>
          <w:sz w:val="22"/>
        </w:rPr>
        <w:t>: procedimientos con código, versión y fecha de aprobación, circulares numeradas y contratos con objeto (pp. 85–87). Es lo mejor sustentado del trabajo.</w:t>
      </w:r>
    </w:p>
    <w:p>
      <w:pPr>
        <w:pStyle w:val="ListNumber"/>
      </w:pPr>
      <w:r>
        <w:rPr>
          <w:rFonts w:ascii="Calibri" w:hAnsi="Calibri"/>
          <w:b/>
          <w:color w:val="2B2B2B"/>
          <w:sz w:val="22"/>
        </w:rPr>
        <w:t>Honestidad explícita sobre el estado del producto.</w:t>
      </w:r>
      <w:r>
        <w:rPr>
          <w:rFonts w:ascii="Calibri" w:hAnsi="Calibri"/>
          <w:b w:val="0"/>
          <w:color w:val="2B2B2B"/>
          <w:sz w:val="22"/>
        </w:rPr>
        <w:t xml:space="preserve"> El documento repite que la estrategia es una recomendación estructurada, que los indicadores «no presentan valores observados» y que la implementación y su medición quedan fuera del alcance (pp. 108, 116, 120, 127, 132). Eso es exactamente lo que se le pide a un trabajo de especialización que no pudo implementar.</w:t>
      </w:r>
    </w:p>
    <w:p>
      <w:pPr>
        <w:pStyle w:val="ListNumber"/>
      </w:pPr>
      <w:r>
        <w:rPr>
          <w:rFonts w:ascii="Calibri" w:hAnsi="Calibri"/>
          <w:b/>
          <w:color w:val="2B2B2B"/>
          <w:sz w:val="22"/>
        </w:rPr>
        <w:t>Un hallazgo incómodo que no esconden</w:t>
      </w:r>
      <w:r>
        <w:rPr>
          <w:rFonts w:ascii="Calibri" w:hAnsi="Calibri"/>
          <w:b w:val="0"/>
          <w:color w:val="2B2B2B"/>
          <w:sz w:val="22"/>
        </w:rPr>
        <w:t>: la baja intensidad de la relación se interpreta reconociendo que el funcionario usa la tecnología por obligatoriedad del control de acceso y no por la gestión institucional (p. 101). Es el párrafo más valioso del documento.</w:t>
      </w:r>
    </w:p>
    <w:p>
      <w:pPr>
        <w:pStyle w:val="ListNumber"/>
      </w:pPr>
      <w:r>
        <w:rPr>
          <w:rFonts w:ascii="Calibri" w:hAnsi="Calibri"/>
          <w:b/>
          <w:color w:val="2B2B2B"/>
          <w:sz w:val="22"/>
        </w:rPr>
        <w:t>Trazabilidad del dato y cumplimiento normativo</w:t>
      </w:r>
      <w:r>
        <w:rPr>
          <w:rFonts w:ascii="Calibri" w:hAnsi="Calibri"/>
          <w:b w:val="0"/>
          <w:color w:val="2B2B2B"/>
          <w:sz w:val="22"/>
        </w:rPr>
        <w:t>: arquitectura de datos documentada (captura en Forms → CSV → SharePoint restringido → Power BI), diccionario de datos (Tabla 3, pp. 68–69) y consentimiento informado previo bajo Ley 1581 de 2012 (pp. 57–58, 74).</w:t>
      </w:r>
    </w:p>
    <w:p>
      <w:pPr>
        <w:pStyle w:val="ListNumber"/>
      </w:pPr>
      <w:r>
        <w:rPr>
          <w:rFonts w:ascii="Calibri" w:hAnsi="Calibri"/>
          <w:b/>
          <w:color w:val="2B2B2B"/>
          <w:sz w:val="22"/>
        </w:rPr>
        <w:t>El producto está pensado para la entidad, no para el papel</w:t>
      </w:r>
      <w:r>
        <w:rPr>
          <w:rFonts w:ascii="Calibri" w:hAnsi="Calibri"/>
          <w:b w:val="0"/>
          <w:color w:val="2B2B2B"/>
          <w:sz w:val="22"/>
        </w:rPr>
        <w:t>: se apoya en Office 365 ya licenciado, bajo principio de austeridad en el gasto público, sin exigir compras nuevas, y anticipa la transición de gobierno como condicionante del horizonte de ejecución (pp. 109, 121).</w:t>
      </w:r>
    </w:p>
    <w:p>
      <w:pPr>
        <w:spacing w:before="200" w:after="60"/>
      </w:pPr>
      <w:r>
        <w:rPr>
          <w:rFonts w:ascii="Calibri" w:hAnsi="Calibri"/>
          <w:b/>
          <w:color w:val="007433"/>
          <w:sz w:val="32"/>
        </w:rPr>
        <w:t>4. Debilidades y huecos (con página)</w:t>
      </w:r>
    </w:p>
    <w:p>
      <w:pPr>
        <w:pStyle w:val="ListNumber"/>
      </w:pPr>
      <w:r>
        <w:rPr>
          <w:rFonts w:ascii="Calibri" w:hAnsi="Calibri"/>
          <w:b/>
          <w:color w:val="2B2B2B"/>
          <w:sz w:val="22"/>
        </w:rPr>
        <w:t>Dos modelos OLS del mismo capítulo con conclusiones opuestas.</w:t>
      </w:r>
      <w:r>
        <w:rPr>
          <w:rFonts w:ascii="Calibri" w:hAnsi="Calibri"/>
          <w:b w:val="0"/>
          <w:color w:val="2B2B2B"/>
          <w:sz w:val="22"/>
        </w:rPr>
        <w:t xml:space="preserve"> p. 98: p = 0,000, Durbin-Watson 2,010 y «cada punto de incremento en el esfuerzo de la estrategia actual genera un aumento de 0.5746 puntos en el nivel de adopción»; p. 99: R² = 0,076, es decir «el 7.6% de la variabilidad en la adopción». p. 102: R² = 0,003, p = 0,063, «las estrategias de gestión solo explican el 0,3 % de la varianza en la adopción y carecen de significancia estadística». El documento no advierte la diferencia ni explica el cambio de variables (el índice de la p. 94 incluye P10 y el de la p. 100 no).</w:t>
      </w:r>
    </w:p>
    <w:p>
      <w:pPr>
        <w:pStyle w:val="ListNumber"/>
      </w:pPr>
      <w:r>
        <w:rPr>
          <w:rFonts w:ascii="Calibri" w:hAnsi="Calibri"/>
          <w:b/>
          <w:color w:val="2B2B2B"/>
          <w:sz w:val="22"/>
        </w:rPr>
        <w:t>El resumen afirma lo que los resultados no sostienen.</w:t>
      </w:r>
      <w:r>
        <w:rPr>
          <w:rFonts w:ascii="Calibri" w:hAnsi="Calibri"/>
          <w:b w:val="0"/>
          <w:color w:val="2B2B2B"/>
          <w:sz w:val="22"/>
        </w:rPr>
        <w:t xml:space="preserve"> p. 11: «permitió evidenciar que la capacitación, el acompañamiento y la comunicación inciden significativamente en la adopción tecnológica». La conclusión 3 (p. 134) tampoco menciona el p = 0,063 ni el R² = 0,003.</w:t>
      </w:r>
    </w:p>
    <w:p>
      <w:pPr>
        <w:pStyle w:val="ListNumber"/>
      </w:pPr>
      <w:r>
        <w:rPr>
          <w:rFonts w:ascii="Calibri" w:hAnsi="Calibri"/>
          <w:b/>
          <w:color w:val="2B2B2B"/>
          <w:sz w:val="22"/>
        </w:rPr>
        <w:t>La población y el 33 % no cuadran.</w:t>
      </w:r>
      <w:r>
        <w:rPr>
          <w:rFonts w:ascii="Calibri" w:hAnsi="Calibri"/>
          <w:b w:val="0"/>
          <w:color w:val="2B2B2B"/>
          <w:sz w:val="22"/>
        </w:rPr>
        <w:t xml:space="preserve"> p. 42: el Nivel Central «corresponde a el 33 % del total (aproximadamente 1000 Personas)». p. 48: los 1.000 registros «representa[n] una tasa de participación del 33 % del total de la población contactada». p. 74: «los 1.000 funcionarios del Nivel Central». Las tres lecturas no pueden ser ciertas a la vez: o 1.000 es la población completa (censo, 100 % de respuesta) o es el 33 % de unos 3.000 contactados. En la presentación la contradicción queda a la vista: la diapositiva 7 repite la versión de la p. 42 y la diapositiva 10 dice «Mil (1000) Funcionarios encuestados; 33 % de la totalidad del Nivel Central».</w:t>
      </w:r>
    </w:p>
    <w:p>
      <w:pPr>
        <w:pStyle w:val="ListNumber"/>
      </w:pPr>
      <w:r>
        <w:rPr>
          <w:rFonts w:ascii="Calibri" w:hAnsi="Calibri"/>
          <w:b/>
          <w:color w:val="2B2B2B"/>
          <w:sz w:val="22"/>
        </w:rPr>
        <w:t>«Muestreo aleatorio» declarado sin procedimiento</w:t>
      </w:r>
      <w:r>
        <w:rPr>
          <w:rFonts w:ascii="Calibri" w:hAnsi="Calibri"/>
          <w:b w:val="0"/>
          <w:color w:val="2B2B2B"/>
          <w:sz w:val="22"/>
        </w:rPr>
        <w:t xml:space="preserve"> (p. 42) y con criterios de inclusión que exigen haber recibido capacitación o acompañamiento: si se envió a todo el Nivel Central por correo institucional (p. 74), no hubo aleatorización sino autoselección. El documento no reporta no respuesta ni sesgo de autoselección.</w:t>
      </w:r>
    </w:p>
    <w:p>
      <w:pPr>
        <w:pStyle w:val="ListNumber"/>
      </w:pPr>
      <w:r>
        <w:rPr>
          <w:rFonts w:ascii="Calibri" w:hAnsi="Calibri"/>
          <w:b/>
          <w:color w:val="2B2B2B"/>
          <w:sz w:val="22"/>
        </w:rPr>
        <w:t>Se atribuye causalidad a un diseño correlacional.</w:t>
      </w:r>
      <w:r>
        <w:rPr>
          <w:rFonts w:ascii="Calibri" w:hAnsi="Calibri"/>
          <w:b w:val="0"/>
          <w:color w:val="2B2B2B"/>
          <w:sz w:val="22"/>
        </w:rPr>
        <w:t xml:space="preserve"> p. 99: «La línea de regresión muestra la relación de causa y efecto». El propio alcance es descriptivo–correlacional (p. 37) y transversal, y el modelo explica 7,6 % de la varianza en el mejor de los dos escenarios.</w:t>
      </w:r>
    </w:p>
    <w:p>
      <w:pPr>
        <w:pStyle w:val="ListNumber"/>
      </w:pPr>
      <w:r>
        <w:rPr>
          <w:rFonts w:ascii="Calibri" w:hAnsi="Calibri"/>
          <w:b/>
          <w:color w:val="2B2B2B"/>
          <w:sz w:val="22"/>
        </w:rPr>
        <w:t>El alfa de Cronbach de 0,924 se usa como aval de todo el análisis.</w:t>
      </w:r>
      <w:r>
        <w:rPr>
          <w:rFonts w:ascii="Calibri" w:hAnsi="Calibri"/>
          <w:b w:val="0"/>
          <w:color w:val="2B2B2B"/>
          <w:sz w:val="22"/>
        </w:rPr>
        <w:t xml:space="preserve"> Se calculó sobre el piloto de 30 funcionarios de la Unidad de Seguridad (pp. 75–77), pero en p. 101 se presenta como «blindaje» de las correlaciones sobre los 1.000 registros y en p. 103 como respaldo de «la estabilidad de estos cálculos». No hay alfa recalculado con la base final. Además, el denominador descrito en la Tabla 6 («para cada uno de los 30 funcionarios se calcula la varianza de las respuestas 1 a la 9 y se suman», p. 77) no es la varianza de los puntajes totales que pide la fórmula; recalculado con los datos de la Tabla 4 el alfa da ≈0,91, así que la conclusión de «confiabilidad excelente» se sostiene, pero el procedimiento reportado no.</w:t>
      </w:r>
    </w:p>
    <w:p>
      <w:pPr>
        <w:pStyle w:val="ListNumber"/>
      </w:pPr>
      <w:r>
        <w:rPr>
          <w:rFonts w:ascii="Calibri" w:hAnsi="Calibri"/>
          <w:b/>
          <w:color w:val="2B2B2B"/>
          <w:sz w:val="22"/>
        </w:rPr>
        <w:t>Metodología redactada en futuro, resultados en pasado.</w:t>
      </w:r>
      <w:r>
        <w:rPr>
          <w:rFonts w:ascii="Calibri" w:hAnsi="Calibri"/>
          <w:b w:val="0"/>
          <w:color w:val="2B2B2B"/>
          <w:sz w:val="22"/>
        </w:rPr>
        <w:t xml:space="preserve"> Todo el capítulo 7 hasta la p. 47 dice «se desarrollará», «se aplicará», «se llevará a cabo»; en la p. 48 el texto cambia a pasado. Es residuo del anteproyecto que quedó sin armonizar en la versión final, y afecta al criterio de integración de correcciones previas.</w:t>
      </w:r>
    </w:p>
    <w:p>
      <w:pPr>
        <w:pStyle w:val="ListNumber"/>
      </w:pPr>
      <w:r>
        <w:rPr>
          <w:rFonts w:ascii="Calibri" w:hAnsi="Calibri"/>
          <w:b/>
          <w:color w:val="2B2B2B"/>
          <w:sz w:val="22"/>
        </w:rPr>
        <w:t>Citas del texto que no están en la lista de referencias.</w:t>
      </w:r>
      <w:r>
        <w:rPr>
          <w:rFonts w:ascii="Calibri" w:hAnsi="Calibri"/>
          <w:b w:val="0"/>
          <w:color w:val="2B2B2B"/>
          <w:sz w:val="22"/>
        </w:rPr>
        <w:t xml:space="preserve"> Hiatt (2006), Kotter (2012), Davis (1989), Armenakis y Harris (2009), Burnes (2017), Nonaka y Takeuchi (1995), Garvin (1993), Hernández Sampieri et al. (2014), ISO (2022) y Calder (2016) se citan en pp. 21–37 y no aparecen en las Referencias bibliográficas (pp. 137–140), que además incluyen tres videos de YouTube y una entrada de LinkedIn entre unas 26 fuentes. La diapositiva 6 agrega tres antecedentes (García-Peñalvo 2021, Calder y Watkins 2015, Sandoval-Almazán y Gil-García 2016) que no figuran en el documento; el título «Transformación digital en las organizaciones» que la diapositiva atribuye a García-Peñalvo es, en la lista de referencias, de Páez-Gabriunas et al. (2021, p. 139).</w:t>
      </w:r>
    </w:p>
    <w:p>
      <w:pPr>
        <w:pStyle w:val="ListNumber"/>
      </w:pPr>
      <w:r>
        <w:rPr>
          <w:rFonts w:ascii="Calibri" w:hAnsi="Calibri"/>
          <w:b/>
          <w:color w:val="2B2B2B"/>
          <w:sz w:val="22"/>
        </w:rPr>
        <w:t>La diapositiva 11 lista siete estrategias y la Tabla 8 solo tiene seis filas.</w:t>
      </w:r>
      <w:r>
        <w:rPr>
          <w:rFonts w:ascii="Calibri" w:hAnsi="Calibri"/>
          <w:b w:val="0"/>
          <w:color w:val="2B2B2B"/>
          <w:sz w:val="22"/>
        </w:rPr>
        <w:t xml:space="preserve"> La diapositiva añade «Transferencia de conocimiento» con «100% del personal operativo y un 80% de los funcionarios de las diferentes sedes», y la Tabla 8 solo recoge Programa de Inducción, Reinducción Bienal, Socialización SSE, Semana de la seguridad, Mes de la Ciber y Acompañamiento (pp. 85–87). Matiz importante: el documento </w:t>
      </w:r>
      <w:r>
        <w:rPr>
          <w:rFonts w:ascii="Calibri" w:hAnsi="Calibri"/>
          <w:b/>
          <w:color w:val="2B2B2B"/>
          <w:sz w:val="22"/>
        </w:rPr>
        <w:t>sí</w:t>
      </w:r>
      <w:r>
        <w:rPr>
          <w:rFonts w:ascii="Calibri" w:hAnsi="Calibri"/>
          <w:b w:val="0"/>
          <w:color w:val="2B2B2B"/>
          <w:sz w:val="22"/>
        </w:rPr>
        <w:t xml:space="preserve"> menciona la transferencia de conocimiento como estrategia existente, pero fuera de la Tabla 8 y sin cifras de cobertura — «este enfoque se relaciona con las estrategias de transferencia de conocimiento, Semana de la seguridad y mes de la ciber» (p. 88). Lo que no tiene respaldo documental es su condición de fila de la Tabla 8 y el par 100 %/80 %.</w:t>
      </w:r>
    </w:p>
    <w:p>
      <w:pPr>
        <w:pStyle w:val="ListNumber"/>
      </w:pPr>
      <w:r>
        <w:rPr>
          <w:rFonts w:ascii="Calibri" w:hAnsi="Calibri"/>
          <w:b/>
          <w:color w:val="2B2B2B"/>
          <w:sz w:val="22"/>
        </w:rPr>
        <w:t>Sin reporte de similitud.</w:t>
      </w:r>
      <w:r>
        <w:rPr>
          <w:rFonts w:ascii="Calibri" w:hAnsi="Calibri"/>
          <w:b w:val="0"/>
          <w:color w:val="2B2B2B"/>
          <w:sz w:val="22"/>
        </w:rPr>
        <w:t xml:space="preserve"> Buscado en las 140 páginas: no hay mención de Turnitin, porcentaje de similitud ni anexos del informe. Hay declaración de originalidad firmada (p. 13), no reporte.</w:t>
      </w:r>
    </w:p>
    <w:p>
      <w:pPr>
        <w:pStyle w:val="ListNumber"/>
      </w:pPr>
      <w:r>
        <w:rPr>
          <w:rFonts w:ascii="Calibri" w:hAnsi="Calibri"/>
          <w:b/>
          <w:color w:val="2B2B2B"/>
          <w:sz w:val="22"/>
        </w:rPr>
        <w:t>Técnicas declaradas y no evidenciadas.</w:t>
      </w:r>
      <w:r>
        <w:rPr>
          <w:rFonts w:ascii="Calibri" w:hAnsi="Calibri"/>
          <w:b w:val="0"/>
          <w:color w:val="2B2B2B"/>
          <w:sz w:val="22"/>
        </w:rPr>
        <w:t xml:space="preserve"> La observación directa del entorno organizacional se enuncia como técnica y como validación de usabilidad (pp. 39, 80–81), pero no hay ficha, protocolo, registro ni resultado de esa observación en ninguna parte del documento.</w:t>
      </w:r>
    </w:p>
    <w:p>
      <w:pPr>
        <w:pStyle w:val="ListNumber"/>
      </w:pPr>
      <w:r>
        <w:rPr>
          <w:rFonts w:ascii="Calibri" w:hAnsi="Calibri"/>
          <w:b/>
          <w:color w:val="2B2B2B"/>
          <w:sz w:val="22"/>
        </w:rPr>
        <w:t>Sin capítulo de limitaciones posterior a los resultados.</w:t>
      </w:r>
      <w:r>
        <w:rPr>
          <w:rFonts w:ascii="Calibri" w:hAnsi="Calibri"/>
          <w:b w:val="0"/>
          <w:color w:val="2B2B2B"/>
          <w:sz w:val="22"/>
        </w:rPr>
        <w:t xml:space="preserve"> Las limitaciones son las declaradas *ex ante* en 5.2 (pp. 24–26) y ninguna de ellas se revisa a la luz de lo que efectivamente salió (poder explicativo bajo, medición de percepción como único proxy de adopción).</w:t>
      </w:r>
    </w:p>
    <w:p>
      <w:pPr>
        <w:spacing w:before="200" w:after="60"/>
      </w:pPr>
      <w:r>
        <w:rPr>
          <w:rFonts w:ascii="Calibri" w:hAnsi="Calibri"/>
          <w:b/>
          <w:color w:val="007433"/>
          <w:sz w:val="32"/>
        </w:rPr>
        <w:t>5.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1. Los dos modelos de regresión.</w:t>
      </w:r>
    </w:p>
    <w:p>
      <w:pPr>
        <w:ind w:left="432"/>
        <w:shd w:val="clear" w:fill="E8F5EC"/>
      </w:pPr>
      <w:r>
        <w:rPr>
          <w:rFonts w:ascii="Calibri" w:hAnsi="Calibri"/>
          <w:b w:val="0"/>
          <w:i/>
          <w:color w:val="2B2B2B"/>
          <w:sz w:val="21"/>
        </w:rPr>
        <w:t>«Su objetivo general es *determinar la incidencia*. En la página 98 el modelo OLS les da p = 0,000 y un beta de 0,5746, y en la 99 un R² de 0,076, y lo presentan como incidencia positiva probada. En la página 102, con los mismos mil registros, el modelo les da R² = 0,003 y p = 0,063, y ustedes mismos escriben que carece de significancia estadística. ¿Cuál de los dos responde el objetivo general, y qué cambió entre uno y otro?»</w:t>
      </w:r>
    </w:p>
    <w:p>
      <w:pPr>
        <w:pStyle w:val="ListBullet"/>
      </w:pPr>
      <w:r>
        <w:rPr>
          <w:rFonts w:ascii="Calibri" w:hAnsi="Calibri"/>
          <w:b/>
          <w:color w:val="2B2B2B"/>
          <w:sz w:val="22"/>
        </w:rPr>
        <w:t>Por qué:</w:t>
      </w:r>
      <w:r>
        <w:rPr>
          <w:rFonts w:ascii="Calibri" w:hAnsi="Calibri"/>
          <w:b w:val="0"/>
          <w:color w:val="2B2B2B"/>
          <w:sz w:val="22"/>
        </w:rPr>
        <w:t xml:space="preserve"> pp. 98–99 frente a pp. 101–102; el resumen (p. 11) afirma incidencia significativa y la conclusión 3 (p. 134) no menciona la no significancia. Es el criterio de coherencia del documento en su punto exacto.</w:t>
      </w:r>
    </w:p>
    <w:p>
      <w:pPr>
        <w:pStyle w:val="ListBullet"/>
      </w:pPr>
      <w:r>
        <w:rPr>
          <w:rFonts w:ascii="Calibri" w:hAnsi="Calibri"/>
          <w:b/>
          <w:color w:val="2B2B2B"/>
          <w:sz w:val="22"/>
        </w:rPr>
        <w:t>Qué la resuelve:</w:t>
      </w:r>
      <w:r>
        <w:rPr>
          <w:rFonts w:ascii="Calibri" w:hAnsi="Calibri"/>
          <w:b w:val="0"/>
          <w:color w:val="2B2B2B"/>
          <w:sz w:val="22"/>
        </w:rPr>
        <w:t xml:space="preserve"> que expliquen que las variables no son las mismas —el índice de adopción de la p. 94 incluye P10 (escala 0–10) y el de la p. 100 no—, que el modelo válido para el objetivo 3 es el de la p. 102 y que el hallazgo es precisamente que la gestión actual no explica la adopción; si además dicen que el resumen quedó mal redactado, la respuesta es completa.</w:t>
      </w:r>
    </w:p>
    <w:p>
      <w:pPr>
        <w:pStyle w:val="ListBullet"/>
      </w:pPr>
      <w:r>
        <w:rPr>
          <w:rFonts w:ascii="Calibri" w:hAnsi="Calibri"/>
          <w:b/>
          <w:color w:val="2B2B2B"/>
          <w:sz w:val="22"/>
        </w:rPr>
        <w:t>Qué la agrava:</w:t>
      </w:r>
      <w:r>
        <w:rPr>
          <w:rFonts w:ascii="Calibri" w:hAnsi="Calibri"/>
          <w:b w:val="0"/>
          <w:color w:val="2B2B2B"/>
          <w:sz w:val="22"/>
        </w:rPr>
        <w:t xml:space="preserve"> repetir «la relación es positiva y está probada» sin distinguir los dos modelos, o afirmar que un R² de 0,003 «también demuestra incidencia».</w:t>
      </w:r>
    </w:p>
    <w:p>
      <w:r>
        <w:rPr>
          <w:rFonts w:ascii="Calibri" w:hAnsi="Calibri"/>
          <w:b/>
          <w:color w:val="2B2B2B"/>
          <w:sz w:val="22"/>
        </w:rPr>
        <w:t>2. La población y el 33 %.</w:t>
      </w:r>
    </w:p>
    <w:p>
      <w:pPr>
        <w:ind w:left="432"/>
        <w:shd w:val="clear" w:fill="E8F5EC"/>
      </w:pPr>
      <w:r>
        <w:rPr>
          <w:rFonts w:ascii="Calibri" w:hAnsi="Calibri"/>
          <w:b w:val="0"/>
          <w:i/>
          <w:color w:val="2B2B2B"/>
          <w:sz w:val="21"/>
        </w:rPr>
        <w:t>«Necesito entender el denominador: en la página 42 los mil usuarios del Nivel Central son el 33 % del total de la entidad; en la página 48 los mil registros son el 33 % de la población contactada; y en la página 74 hablan de "los 1.000 funcionarios del Nivel Central". ¿Cuántas personas trabajan en Nivel Central, a cuántas se les envió el formulario y cuántas respondieron?»</w:t>
      </w:r>
    </w:p>
    <w:p>
      <w:pPr>
        <w:pStyle w:val="ListBullet"/>
      </w:pPr>
      <w:r>
        <w:rPr>
          <w:rFonts w:ascii="Calibri" w:hAnsi="Calibri"/>
          <w:b/>
          <w:color w:val="2B2B2B"/>
          <w:sz w:val="22"/>
        </w:rPr>
        <w:t>Por qué:</w:t>
      </w:r>
      <w:r>
        <w:rPr>
          <w:rFonts w:ascii="Calibri" w:hAnsi="Calibri"/>
          <w:b w:val="0"/>
          <w:color w:val="2B2B2B"/>
          <w:sz w:val="22"/>
        </w:rPr>
        <w:t xml:space="preserve"> pp. 42, 48 y 74 del documento, y diapositivas 7 y 10, que reproducen las dos versiones incompatibles. De ese número depende si hubo censo o muestra y si «muestreo aleatorio» (p. 42) describe lo que ocurrió.</w:t>
      </w:r>
    </w:p>
    <w:p>
      <w:pPr>
        <w:pStyle w:val="ListBullet"/>
      </w:pPr>
      <w:r>
        <w:rPr>
          <w:rFonts w:ascii="Calibri" w:hAnsi="Calibri"/>
          <w:b/>
          <w:color w:val="2B2B2B"/>
          <w:sz w:val="22"/>
        </w:rPr>
        <w:t>Qué la resuelve:</w:t>
      </w:r>
      <w:r>
        <w:rPr>
          <w:rFonts w:ascii="Calibri" w:hAnsi="Calibri"/>
          <w:b w:val="0"/>
          <w:color w:val="2B2B2B"/>
          <w:sz w:val="22"/>
        </w:rPr>
        <w:t xml:space="preserve"> dar los tres números (población, invitaciones enviadas, respuestas válidas) y decir con naturalidad si fue censo con alta respuesta o muestra autoseleccionada; a este nivel una muestra autoseleccionada bien declarada no es un defecto.</w:t>
      </w:r>
    </w:p>
    <w:p>
      <w:pPr>
        <w:pStyle w:val="ListBullet"/>
      </w:pPr>
      <w:r>
        <w:rPr>
          <w:rFonts w:ascii="Calibri" w:hAnsi="Calibri"/>
          <w:b/>
          <w:color w:val="2B2B2B"/>
          <w:sz w:val="22"/>
        </w:rPr>
        <w:t>Qué la agrava:</w:t>
      </w:r>
      <w:r>
        <w:rPr>
          <w:rFonts w:ascii="Calibri" w:hAnsi="Calibri"/>
          <w:b w:val="0"/>
          <w:color w:val="2B2B2B"/>
          <w:sz w:val="22"/>
        </w:rPr>
        <w:t xml:space="preserve"> sostener que 1.000 es a la vez la población y el 33 % de ella, o refugiarse en «mil registros garantizan la representatividad» (pp. 79–80) sin dar el marco poblacional.</w:t>
      </w:r>
    </w:p>
    <w:p>
      <w:r>
        <w:rPr>
          <w:rFonts w:ascii="Calibri" w:hAnsi="Calibri"/>
          <w:b/>
          <w:color w:val="2B2B2B"/>
          <w:sz w:val="22"/>
        </w:rPr>
        <w:t>3. La lógica del producto frente a su propio hallazgo.</w:t>
      </w:r>
    </w:p>
    <w:p>
      <w:pPr>
        <w:ind w:left="432"/>
        <w:shd w:val="clear" w:fill="E8F5EC"/>
      </w:pPr>
      <w:r>
        <w:rPr>
          <w:rFonts w:ascii="Calibri" w:hAnsi="Calibri"/>
          <w:b w:val="0"/>
          <w:i/>
          <w:color w:val="2B2B2B"/>
          <w:sz w:val="21"/>
        </w:rPr>
        <w:t>«En la página 102 la capacitación es la variable de impacto casi nulo, con beta de 0,008, y en la página 101 ustedes concluyen que la gente usa los sistemas por obligatoriedad y no por la gestión. Su Línea I apuesta justamente por más capacitación, con laboratorios de simulación. ¿Por qué esa apuesta, y con qué indicador sabrían en 2027 que funcionó?»</w:t>
      </w:r>
    </w:p>
    <w:p>
      <w:pPr>
        <w:pStyle w:val="ListBullet"/>
      </w:pPr>
      <w:r>
        <w:rPr>
          <w:rFonts w:ascii="Calibri" w:hAnsi="Calibri"/>
          <w:b/>
          <w:color w:val="2B2B2B"/>
          <w:sz w:val="22"/>
        </w:rPr>
        <w:t>Por qué:</w:t>
      </w:r>
      <w:r>
        <w:rPr>
          <w:rFonts w:ascii="Calibri" w:hAnsi="Calibri"/>
          <w:b w:val="0"/>
          <w:color w:val="2B2B2B"/>
          <w:sz w:val="22"/>
        </w:rPr>
        <w:t xml:space="preserve"> p. 102 (β capacitación = 0,008), p. 101 (obligatoriedad como explicación) frente a las pp. 112–116 de la Línea I, que además anuncia indicadores y no los presenta en tabla (p. 116), mientras las Líneas II y III sí los tienen (Tablas 10 y 11).</w:t>
      </w:r>
    </w:p>
    <w:p>
      <w:pPr>
        <w:pStyle w:val="ListBullet"/>
      </w:pPr>
      <w:r>
        <w:rPr>
          <w:rFonts w:ascii="Calibri" w:hAnsi="Calibri"/>
          <w:b/>
          <w:color w:val="2B2B2B"/>
          <w:sz w:val="22"/>
        </w:rPr>
        <w:t>Qué la resuelve:</w:t>
      </w:r>
      <w:r>
        <w:rPr>
          <w:rFonts w:ascii="Calibri" w:hAnsi="Calibri"/>
          <w:b w:val="0"/>
          <w:color w:val="2B2B2B"/>
          <w:sz w:val="22"/>
        </w:rPr>
        <w:t xml:space="preserve"> distinguir que el 64,5 % de insatisfacción con la capacitación (p. 88) es un problema real de percepción y de riesgo operativo aunque no explique la varianza de la adopción, y nombrar un indicador concreto y medible de la Línea I con línea base (el 64,5 % del P6 sirve como línea base).</w:t>
      </w:r>
    </w:p>
    <w:p>
      <w:pPr>
        <w:pStyle w:val="ListBullet"/>
      </w:pPr>
      <w:r>
        <w:rPr>
          <w:rFonts w:ascii="Calibri" w:hAnsi="Calibri"/>
          <w:b/>
          <w:color w:val="2B2B2B"/>
          <w:sz w:val="22"/>
        </w:rPr>
        <w:t>Qué la agrava:</w:t>
      </w:r>
      <w:r>
        <w:rPr>
          <w:rFonts w:ascii="Calibri" w:hAnsi="Calibri"/>
          <w:b w:val="0"/>
          <w:color w:val="2B2B2B"/>
          <w:sz w:val="22"/>
        </w:rPr>
        <w:t xml:space="preserve"> justificar la línea solo con «la capacitación es el eslabón más débil» sin conectar con el hallazgo estadístico, o no tener ningún indicador para la Línea I.</w:t>
      </w:r>
    </w:p>
    <w:p>
      <w:pPr>
        <w:spacing w:before="200" w:after="60"/>
      </w:pPr>
      <w:r>
        <w:rPr>
          <w:rFonts w:ascii="Calibri" w:hAnsi="Calibri"/>
          <w:b/>
          <w:color w:val="007433"/>
          <w:sz w:val="32"/>
        </w:rPr>
        <w:t>Banco de reserva</w:t>
      </w:r>
    </w:p>
    <w:p>
      <w:pPr>
        <w:pStyle w:val="ListNumber"/>
      </w:pPr>
      <w:r>
        <w:rPr>
          <w:rFonts w:ascii="Calibri" w:hAnsi="Calibri"/>
          <w:b w:val="0"/>
          <w:color w:val="2B2B2B"/>
          <w:sz w:val="22"/>
        </w:rPr>
        <w:t>Página 99: «la línea de regresión muestra la relación de causa y efecto». Con un diseño transversal, descriptivo–correlacional (p. 37), ¿qué evidencia de causalidad tienen?</w:t>
      </w:r>
    </w:p>
    <w:p>
      <w:pPr>
        <w:pStyle w:val="ListNumber"/>
      </w:pPr>
      <w:r>
        <w:rPr>
          <w:rFonts w:ascii="Calibri" w:hAnsi="Calibri"/>
          <w:b w:val="0"/>
          <w:color w:val="2B2B2B"/>
          <w:sz w:val="22"/>
        </w:rPr>
        <w:t>El alfa de 0,924 se calculó con 30 funcionarios de la Unidad de Seguridad (pp. 75–77) y se presenta en las pp. 101 y 103 como aval de los cálculos sobre los 1.000 registros. ¿Recalcularon la consistencia interna con la base final?</w:t>
      </w:r>
    </w:p>
    <w:p>
      <w:pPr>
        <w:pStyle w:val="ListNumber"/>
      </w:pPr>
      <w:r>
        <w:rPr>
          <w:rFonts w:ascii="Calibri" w:hAnsi="Calibri"/>
          <w:b w:val="0"/>
          <w:color w:val="2B2B2B"/>
          <w:sz w:val="22"/>
        </w:rPr>
        <w:t>IND_CAPAC e IND_ACOMP se construyen con un solo ítem cada uno (p. 100). ¿Qué tan lejos se puede llegar midiendo una dimensión con una sola pregunta?</w:t>
      </w:r>
    </w:p>
    <w:p>
      <w:pPr>
        <w:pStyle w:val="ListNumber"/>
      </w:pPr>
      <w:r>
        <w:rPr>
          <w:rFonts w:ascii="Calibri" w:hAnsi="Calibri"/>
          <w:b w:val="0"/>
          <w:color w:val="2B2B2B"/>
          <w:sz w:val="22"/>
        </w:rPr>
        <w:t>Los porcentajes de la Tabla 8 —80 % en Semana de la Seguridad, 90 % en Mes de la Ciber, 100 % en circulares (pp. 86–87)— ¿de qué registro salen?</w:t>
      </w:r>
    </w:p>
    <w:p>
      <w:pPr>
        <w:pStyle w:val="ListNumber"/>
      </w:pPr>
      <w:r>
        <w:rPr>
          <w:rFonts w:ascii="Calibri" w:hAnsi="Calibri"/>
          <w:b w:val="0"/>
          <w:color w:val="2B2B2B"/>
          <w:sz w:val="22"/>
        </w:rPr>
        <w:t>La diapositiva 11 incluye una séptima estrategia, «Transferencia de conocimiento», con «100 % del personal operativo y 80 % de los funcionarios de las diferentes sedes», que no es una de las seis filas de la Tabla 8 (pp. 85–87) aunque el texto la nombre de paso en la p. 88. ¿De dónde salen esos dos porcentajes y por qué no entró en la tabla del objetivo 1?</w:t>
      </w:r>
    </w:p>
    <w:p>
      <w:pPr>
        <w:pStyle w:val="ListNumber"/>
      </w:pPr>
      <w:r>
        <w:rPr>
          <w:rFonts w:ascii="Calibri" w:hAnsi="Calibri"/>
          <w:b w:val="0"/>
          <w:color w:val="2B2B2B"/>
          <w:sz w:val="22"/>
        </w:rPr>
        <w:t>La observación directa del entorno se declara como técnica y como validación de usabilidad (pp. 80–81). ¿Dónde quedó registrada y qué aportó que la encuesta no diera?</w:t>
      </w:r>
    </w:p>
    <w:p>
      <w:pPr>
        <w:pStyle w:val="ListNumber"/>
      </w:pPr>
      <w:r>
        <w:rPr>
          <w:rFonts w:ascii="Calibri" w:hAnsi="Calibri"/>
          <w:b w:val="0"/>
          <w:color w:val="2B2B2B"/>
          <w:sz w:val="22"/>
        </w:rPr>
        <w:t>La mesa interdisciplinaria de nueve expertos valoró favorablemente la estrategia (p. 108). ¿Con qué instrumento se recogió esa valoración y quedó acta?</w:t>
      </w:r>
    </w:p>
    <w:p>
      <w:pPr>
        <w:pStyle w:val="ListNumber"/>
      </w:pPr>
      <w:r>
        <w:rPr>
          <w:rFonts w:ascii="Calibri" w:hAnsi="Calibri"/>
          <w:b w:val="0"/>
          <w:color w:val="2B2B2B"/>
          <w:sz w:val="22"/>
        </w:rPr>
        <w:t>La entidad aparece anonimizada como «XXXXXX» (p. 85) y los datos están en un SharePoint institucional restringido (p. 58). ¿Con qué autorización se usaron para el trabajo académico?</w:t>
      </w:r>
    </w:p>
    <w:p>
      <w:pPr>
        <w:spacing w:before="200" w:after="60"/>
      </w:pPr>
      <w:r>
        <w:rPr>
          <w:rFonts w:ascii="Calibri" w:hAnsi="Calibri"/>
          <w:b/>
          <w:color w:val="007433"/>
          <w:sz w:val="32"/>
        </w:rPr>
        <w:t>6. PREGUNTAS DESPUÉS — condicionales, para marcar en caliente</w:t>
      </w:r>
    </w:p>
    <w:p>
      <w:pPr>
        <w:pStyle w:val="ListBullet"/>
      </w:pPr>
      <w:r>
        <w:rPr>
          <w:rFonts w:ascii="Calibri" w:hAnsi="Calibri"/>
          <w:b/>
          <w:color w:val="2B2B2B"/>
          <w:sz w:val="22"/>
        </w:rPr>
        <w:t>Si presentan solo la diapositiva 14–15</w:t>
      </w:r>
      <w:r>
        <w:rPr>
          <w:rFonts w:ascii="Calibri" w:hAnsi="Calibri"/>
          <w:b w:val="0"/>
          <w:color w:val="2B2B2B"/>
          <w:sz w:val="22"/>
        </w:rPr>
        <w:t xml:space="preserve"> («incidencia directa y positiva», «0,5743 puntos») </w:t>
      </w:r>
      <w:r>
        <w:rPr>
          <w:rFonts w:ascii="Calibri" w:hAnsi="Calibri"/>
          <w:b/>
          <w:color w:val="2B2B2B"/>
          <w:sz w:val="22"/>
        </w:rPr>
        <w:t>y no mencionan el R² = 0,003 ni el p = 0,063 →</w:t>
      </w:r>
      <w:r>
        <w:rPr>
          <w:rFonts w:ascii="Calibri" w:hAnsi="Calibri"/>
          <w:b w:val="0"/>
          <w:color w:val="2B2B2B"/>
          <w:sz w:val="22"/>
        </w:rPr>
        <w:t xml:space="preserve"> preguntar directamente por la p. 102 y por qué esa lámina no está en la exposición. Es la pregunta 1 con más filo, porque revela una decisión de qué mostrar.</w:t>
      </w:r>
    </w:p>
    <w:p>
      <w:pPr>
        <w:pStyle w:val="ListBullet"/>
      </w:pPr>
      <w:r>
        <w:rPr>
          <w:rFonts w:ascii="Calibri" w:hAnsi="Calibri"/>
          <w:b/>
          <w:color w:val="2B2B2B"/>
          <w:sz w:val="22"/>
        </w:rPr>
        <w:t>Si en cambio sí exponen la no significancia →</w:t>
      </w:r>
      <w:r>
        <w:rPr>
          <w:rFonts w:ascii="Calibri" w:hAnsi="Calibri"/>
          <w:b w:val="0"/>
          <w:color w:val="2B2B2B"/>
          <w:sz w:val="22"/>
        </w:rPr>
        <w:t xml:space="preserve"> subir el nivel: «entonces, ¿su respuesta a la pregunta de investigación es que la gestión del cambio *no* incide de forma significativa en la adopción en esta entidad? ¿Cómo se sostiene el título con eso?». Si contestan bien, es un grupo de nota alta.</w:t>
      </w:r>
    </w:p>
    <w:p>
      <w:pPr>
        <w:pStyle w:val="ListBullet"/>
      </w:pPr>
      <w:r>
        <w:rPr>
          <w:rFonts w:ascii="Calibri" w:hAnsi="Calibri"/>
          <w:b/>
          <w:color w:val="2B2B2B"/>
          <w:sz w:val="22"/>
        </w:rPr>
        <w:t>Si dicen «mil encuestados» sin dar el marco poblacional →</w:t>
      </w:r>
      <w:r>
        <w:rPr>
          <w:rFonts w:ascii="Calibri" w:hAnsi="Calibri"/>
          <w:b w:val="0"/>
          <w:color w:val="2B2B2B"/>
          <w:sz w:val="22"/>
        </w:rPr>
        <w:t xml:space="preserve"> entrar con la pregunta 2 pidiendo los tres números, no la discusión conceptual.</w:t>
      </w:r>
    </w:p>
    <w:p>
      <w:pPr>
        <w:pStyle w:val="ListBullet"/>
      </w:pPr>
      <w:r>
        <w:rPr>
          <w:rFonts w:ascii="Calibri" w:hAnsi="Calibri"/>
          <w:b/>
          <w:color w:val="2B2B2B"/>
          <w:sz w:val="22"/>
        </w:rPr>
        <w:t>Si afirman que la muestra es «representativa» o «generalizable»</w:t>
      </w:r>
      <w:r>
        <w:rPr>
          <w:rFonts w:ascii="Calibri" w:hAnsi="Calibri"/>
          <w:b w:val="0"/>
          <w:color w:val="2B2B2B"/>
          <w:sz w:val="22"/>
        </w:rPr>
        <w:t xml:space="preserve"> (pp. 79–80, diapositiva 8) </w:t>
      </w:r>
      <w:r>
        <w:rPr>
          <w:rFonts w:ascii="Calibri" w:hAnsi="Calibri"/>
          <w:b/>
          <w:color w:val="2B2B2B"/>
          <w:sz w:val="22"/>
        </w:rPr>
        <w:t>→</w:t>
      </w:r>
      <w:r>
        <w:rPr>
          <w:rFonts w:ascii="Calibri" w:hAnsi="Calibri"/>
          <w:b w:val="0"/>
          <w:color w:val="2B2B2B"/>
          <w:sz w:val="22"/>
        </w:rPr>
        <w:t xml:space="preserve"> pedir el criterio: nivel de confianza, margen de error y población de referencia usados.</w:t>
      </w:r>
    </w:p>
    <w:p>
      <w:pPr>
        <w:pStyle w:val="ListBullet"/>
      </w:pPr>
      <w:r>
        <w:rPr>
          <w:rFonts w:ascii="Calibri" w:hAnsi="Calibri"/>
          <w:b/>
          <w:color w:val="2B2B2B"/>
          <w:sz w:val="22"/>
        </w:rPr>
        <w:t>Si presentan la estrategia como si ya estuviera funcionando o hablan de resultados de su aplicación →</w:t>
      </w:r>
      <w:r>
        <w:rPr>
          <w:rFonts w:ascii="Calibri" w:hAnsi="Calibri"/>
          <w:b w:val="0"/>
          <w:color w:val="2B2B2B"/>
          <w:sz w:val="22"/>
        </w:rPr>
        <w:t xml:space="preserve"> contrastar con sus propias pp. 120 y 132, donde declaran que no se implementó ni se probó con usuarios. Nota: en el documento la honestidad está; el riesgo es que en sala se pierda.</w:t>
      </w:r>
    </w:p>
    <w:p>
      <w:pPr>
        <w:pStyle w:val="ListBullet"/>
      </w:pPr>
      <w:r>
        <w:rPr>
          <w:rFonts w:ascii="Calibri" w:hAnsi="Calibri"/>
          <w:b/>
          <w:color w:val="2B2B2B"/>
          <w:sz w:val="22"/>
        </w:rPr>
        <w:t>Si se les va el tiempo y saltan el objetivo 3 →</w:t>
      </w:r>
      <w:r>
        <w:rPr>
          <w:rFonts w:ascii="Calibri" w:hAnsi="Calibri"/>
          <w:b w:val="0"/>
          <w:color w:val="2B2B2B"/>
          <w:sz w:val="22"/>
        </w:rPr>
        <w:t xml:space="preserve"> preguntar solo por él: «en una frase, ¿qué relación encontraron entre gestión y adopción, y con qué número?».</w:t>
      </w:r>
    </w:p>
    <w:p>
      <w:pPr>
        <w:pStyle w:val="ListBullet"/>
      </w:pPr>
      <w:r>
        <w:rPr>
          <w:rFonts w:ascii="Calibri" w:hAnsi="Calibri"/>
          <w:b/>
          <w:color w:val="2B2B2B"/>
          <w:sz w:val="22"/>
        </w:rPr>
        <w:t>Si solo habla uno de los dos →</w:t>
      </w:r>
      <w:r>
        <w:rPr>
          <w:rFonts w:ascii="Calibri" w:hAnsi="Calibri"/>
          <w:b w:val="0"/>
          <w:color w:val="2B2B2B"/>
          <w:sz w:val="22"/>
        </w:rPr>
        <w:t xml:space="preserve"> pedir explícitamente al otro que explique la construcción de los índices de Gestión y de Adopción (pp. 93–95, 100) y qué decidió incluir y excluir en cada uno. Es la vía legítima para verificar dominio individual.</w:t>
      </w:r>
    </w:p>
    <w:p>
      <w:pPr>
        <w:pStyle w:val="ListBullet"/>
      </w:pPr>
      <w:r>
        <w:rPr>
          <w:rFonts w:ascii="Calibri" w:hAnsi="Calibri"/>
          <w:b/>
          <w:color w:val="2B2B2B"/>
          <w:sz w:val="22"/>
        </w:rPr>
        <w:t>Si citan a Kotter, Hiatt o el TAM de memoria →</w:t>
      </w:r>
      <w:r>
        <w:rPr>
          <w:rFonts w:ascii="Calibri" w:hAnsi="Calibri"/>
          <w:b w:val="0"/>
          <w:color w:val="2B2B2B"/>
          <w:sz w:val="22"/>
        </w:rPr>
        <w:t xml:space="preserve"> pedir cómo se ve ese modelo dentro del instrumento: qué pregunta mide qué etapa de ADKAR. La matriz de operacionalización (pp. 53–54) les da con qué responder.</w:t>
      </w:r>
    </w:p>
    <w:p>
      <w:pPr>
        <w:pStyle w:val="ListBullet"/>
      </w:pPr>
      <w:r>
        <w:rPr>
          <w:rFonts w:ascii="Calibri" w:hAnsi="Calibri"/>
          <w:b/>
          <w:color w:val="2B2B2B"/>
          <w:sz w:val="22"/>
        </w:rPr>
        <w:t>Si mencionan la mesa de expertos como validación del producto →</w:t>
      </w:r>
      <w:r>
        <w:rPr>
          <w:rFonts w:ascii="Calibri" w:hAnsi="Calibri"/>
          <w:b w:val="0"/>
          <w:color w:val="2B2B2B"/>
          <w:sz w:val="22"/>
        </w:rPr>
        <w:t xml:space="preserve"> preguntar si esa valoración quedó documentada y si algún experto pidió cambios que se incorporaran.</w:t>
      </w:r>
    </w:p>
    <w:p>
      <w:pPr>
        <w:pStyle w:val="ListBullet"/>
      </w:pPr>
      <w:r>
        <w:rPr>
          <w:rFonts w:ascii="Calibri" w:hAnsi="Calibri"/>
          <w:b/>
          <w:color w:val="2B2B2B"/>
          <w:sz w:val="22"/>
        </w:rPr>
        <w:t>Si afirman que la entidad ya adoptó o va a adoptar la estrategia →</w:t>
      </w:r>
      <w:r>
        <w:rPr>
          <w:rFonts w:ascii="Calibri" w:hAnsi="Calibri"/>
          <w:b w:val="0"/>
          <w:color w:val="2B2B2B"/>
          <w:sz w:val="22"/>
        </w:rPr>
        <w:t xml:space="preserve"> preguntar en qué instancia se radicó y qué respuesta hubo, porque el documento solo proyecta un horizonte de 2027 sujeto a decisión institucional (p. 121).</w:t>
      </w:r>
    </w:p>
    <w:p>
      <w:pPr>
        <w:spacing w:before="200" w:after="60"/>
      </w:pPr>
      <w:r>
        <w:rPr>
          <w:rFonts w:ascii="Calibri" w:hAnsi="Calibri"/>
          <w:b/>
          <w:color w:val="007433"/>
          <w:sz w:val="32"/>
        </w:rPr>
        <w:t>7. Umbrales de nota (escala 0,1–5,0, cuatro criterios del jurado)</w:t>
      </w:r>
    </w:p>
    <w:p>
      <w:r>
        <w:rPr>
          <w:rFonts w:ascii="Calibri" w:hAnsi="Calibri"/>
          <w:b w:val="0"/>
          <w:color w:val="2B2B2B"/>
          <w:sz w:val="22"/>
        </w:rPr>
        <w:t xml:space="preserve">Criterios: </w:t>
      </w:r>
      <w:r>
        <w:rPr>
          <w:rFonts w:ascii="Calibri" w:hAnsi="Calibri"/>
          <w:b/>
          <w:color w:val="2B2B2B"/>
          <w:sz w:val="22"/>
        </w:rPr>
        <w:t>dominio del tema · claridad · coherencia del documento · capacidad de defensa.</w:t>
      </w:r>
      <w:r>
        <w:rPr>
          <w:rFonts w:ascii="Calibri" w:hAnsi="Calibri"/>
          <w:b w:val="0"/>
          <w:color w:val="2B2B2B"/>
          <w:sz w:val="22"/>
        </w:rPr>
        <w:t xml:space="preserve"> Nivel exigido: especialización profesionalizante.</w:t>
      </w:r>
    </w:p>
    <w:p>
      <w:pPr>
        <w:pStyle w:val="ListBullet"/>
      </w:pPr>
      <w:r>
        <w:rPr>
          <w:rFonts w:ascii="Calibri" w:hAnsi="Calibri"/>
          <w:b/>
          <w:color w:val="2B2B2B"/>
          <w:sz w:val="22"/>
        </w:rPr>
        <w:t>4,6–5,0 (excelente; solo aquí se puede hablar de meritoria).</w:t>
      </w:r>
      <w:r>
        <w:rPr>
          <w:rFonts w:ascii="Calibri" w:hAnsi="Calibri"/>
          <w:b w:val="0"/>
          <w:color w:val="2B2B2B"/>
          <w:sz w:val="22"/>
        </w:rPr>
        <w:t xml:space="preserve"> Necesito ver </w:t>
      </w:r>
      <w:r>
        <w:rPr>
          <w:rFonts w:ascii="Calibri" w:hAnsi="Calibri"/>
          <w:b/>
          <w:color w:val="2B2B2B"/>
          <w:sz w:val="22"/>
        </w:rPr>
        <w:t>las dos cosas</w:t>
      </w:r>
      <w:r>
        <w:rPr>
          <w:rFonts w:ascii="Calibri" w:hAnsi="Calibri"/>
          <w:b w:val="0"/>
          <w:color w:val="2B2B2B"/>
          <w:sz w:val="22"/>
        </w:rPr>
        <w:t>: (a) que expliquen por iniciativa propia la diferencia entre los dos modelos y asuman que la respuesta al objetivo general es que la gestión actual no explica la adopción —convirtiendo el hallazgo negativo en el argumento de su producto—, y (b) que den los tres números de población, invitaciones y respuestas sin titubear. Si además defienden el diseño de la Línea I con un indicador y una línea base concretos, es un 4,8–5,0.</w:t>
      </w:r>
    </w:p>
    <w:p>
      <w:pPr>
        <w:pStyle w:val="ListBullet"/>
      </w:pPr>
      <w:r>
        <w:rPr>
          <w:rFonts w:ascii="Calibri" w:hAnsi="Calibri"/>
          <w:b/>
          <w:color w:val="2B2B2B"/>
          <w:sz w:val="22"/>
        </w:rPr>
        <w:t>4,0–4,5 (buen desempeño).</w:t>
      </w:r>
      <w:r>
        <w:rPr>
          <w:rFonts w:ascii="Calibri" w:hAnsi="Calibri"/>
          <w:b w:val="0"/>
          <w:color w:val="2B2B2B"/>
          <w:sz w:val="22"/>
        </w:rPr>
        <w:t xml:space="preserve"> Si resuelven la contradicción estadística solo cuando se les pregunta, pero la resuelven bien; o si aclaran el 33 % y sostienen el producto, aunque el resumen y la conclusión 3 sigan afirmando una incidencia significativa que la p. 102 no respalda. Este es el rango de partida razonable con lo que hay en el documento: la estructura, la trazabilidad y la honestidad sobre el producto están; la inferencia central está mal comunicada.</w:t>
      </w:r>
    </w:p>
    <w:p>
      <w:pPr>
        <w:pStyle w:val="ListBullet"/>
      </w:pPr>
      <w:r>
        <w:rPr>
          <w:rFonts w:ascii="Calibri" w:hAnsi="Calibri"/>
          <w:b/>
          <w:color w:val="2B2B2B"/>
          <w:sz w:val="22"/>
        </w:rPr>
        <w:t>3,6–3,9.</w:t>
      </w:r>
      <w:r>
        <w:rPr>
          <w:rFonts w:ascii="Calibri" w:hAnsi="Calibri"/>
          <w:b w:val="0"/>
          <w:color w:val="2B2B2B"/>
          <w:sz w:val="22"/>
        </w:rPr>
        <w:t xml:space="preserve"> Si defienden que hay incidencia probada sin distinguir los dos modelos, o si el 33 % queda sin aclarar, pero demuestran dominio del contexto de la entidad, de las estrategias inventariadas y del contenido de la estrategia propuesta.</w:t>
      </w:r>
    </w:p>
    <w:p>
      <w:pPr>
        <w:pStyle w:val="ListBullet"/>
      </w:pPr>
      <w:r>
        <w:rPr>
          <w:rFonts w:ascii="Calibri" w:hAnsi="Calibri"/>
          <w:b/>
          <w:color w:val="2B2B2B"/>
          <w:sz w:val="22"/>
        </w:rPr>
        <w:t>3,0–3,5 (aceptable).</w:t>
      </w:r>
      <w:r>
        <w:rPr>
          <w:rFonts w:ascii="Calibri" w:hAnsi="Calibri"/>
          <w:b w:val="0"/>
          <w:color w:val="2B2B2B"/>
          <w:sz w:val="22"/>
        </w:rPr>
        <w:t xml:space="preserve"> Si leen las diapositivas, si uno solo de los dos sostiene la sesión, o si no pueden explicar cómo se construyeron sus propios índices ni de dónde salió el 0,5746.</w:t>
      </w:r>
    </w:p>
    <w:p>
      <w:pPr>
        <w:pStyle w:val="ListBullet"/>
      </w:pPr>
      <w:r>
        <w:rPr>
          <w:rFonts w:ascii="Calibri" w:hAnsi="Calibri"/>
          <w:b/>
          <w:color w:val="2B2B2B"/>
          <w:sz w:val="22"/>
        </w:rPr>
        <w:t>Por debajo de 3,0.</w:t>
      </w:r>
      <w:r>
        <w:rPr>
          <w:rFonts w:ascii="Calibri" w:hAnsi="Calibri"/>
          <w:b w:val="0"/>
          <w:color w:val="2B2B2B"/>
          <w:sz w:val="22"/>
        </w:rPr>
        <w:t xml:space="preserve"> Solo si aparece algo que hoy no tengo motivo para suponer: que no puedan dar cuenta del origen de los 1.000 registros o que atribuyan a la entidad resultados de una implementación que no ocurrió.</w:t>
      </w:r>
    </w:p>
    <w:p>
      <w:r>
        <w:rPr>
          <w:rFonts w:ascii="Calibri" w:hAnsi="Calibri"/>
          <w:b/>
          <w:color w:val="2B2B2B"/>
          <w:sz w:val="22"/>
        </w:rPr>
        <w:t>Lo que no voy a castigar</w:t>
      </w:r>
      <w:r>
        <w:rPr>
          <w:rFonts w:ascii="Calibri" w:hAnsi="Calibri"/>
          <w:b w:val="0"/>
          <w:color w:val="2B2B2B"/>
          <w:sz w:val="22"/>
        </w:rPr>
        <w:t xml:space="preserve"> (nivel profesionalizante): que la muestra sea autoseleccionada, que la adopción se mida solo por percepción, que el producto no se haya implementado, que la validación sea una mesa interna de expertos y no un panel externo, y que el R² sea bajo. Un R² bajo bien interpretado vale más que uno alto inventado.</w:t>
      </w:r>
    </w:p>
    <w:p>
      <w:pPr>
        <w:spacing w:before="200" w:after="60"/>
      </w:pPr>
      <w:r>
        <w:rPr>
          <w:rFonts w:ascii="Calibri" w:hAnsi="Calibri"/>
          <w:b/>
          <w:color w:val="007433"/>
          <w:sz w:val="32"/>
        </w:rPr>
        <w:t>8. Observaciones administrativas (no académicas)</w:t>
      </w:r>
    </w:p>
    <w:p>
      <w:pPr>
        <w:pStyle w:val="ListNumber"/>
      </w:pPr>
      <w:r>
        <w:rPr>
          <w:rFonts w:ascii="Calibri" w:hAnsi="Calibri"/>
          <w:b/>
          <w:color w:val="2B2B2B"/>
          <w:sz w:val="22"/>
        </w:rPr>
        <w:t>Equipo de 2 integrantes</w:t>
      </w:r>
      <w:r>
        <w:rPr>
          <w:rFonts w:ascii="Calibri" w:hAnsi="Calibri"/>
          <w:b w:val="0"/>
          <w:color w:val="2B2B2B"/>
          <w:sz w:val="22"/>
        </w:rPr>
        <w:t xml:space="preserve"> — dentro del máximo de 3. Sin novedad.</w:t>
      </w:r>
    </w:p>
    <w:p>
      <w:pPr>
        <w:pStyle w:val="ListNumber"/>
      </w:pPr>
      <w:r>
        <w:rPr>
          <w:rFonts w:ascii="Calibri" w:hAnsi="Calibri"/>
          <w:b/>
          <w:color w:val="2B2B2B"/>
          <w:sz w:val="22"/>
        </w:rPr>
        <w:t>Correos institucionales</w:t>
      </w:r>
      <w:r>
        <w:rPr>
          <w:rFonts w:ascii="Calibri" w:hAnsi="Calibri"/>
          <w:b w:val="0"/>
          <w:color w:val="2B2B2B"/>
          <w:sz w:val="22"/>
        </w:rPr>
        <w:t xml:space="preserve"> de ambos integrantes correctos y coincidentes con el cronograma. No se transcriben cédulas a esta ficha.</w:t>
      </w:r>
    </w:p>
    <w:p>
      <w:pPr>
        <w:pStyle w:val="ListNumber"/>
      </w:pPr>
      <w:r>
        <w:rPr>
          <w:rFonts w:ascii="Calibri" w:hAnsi="Calibri"/>
          <w:b/>
          <w:color w:val="2B2B2B"/>
          <w:sz w:val="22"/>
        </w:rPr>
        <w:t>La directora del proyecto es la moderadora de la sesión.</w:t>
      </w:r>
      <w:r>
        <w:rPr>
          <w:rFonts w:ascii="Calibri" w:hAnsi="Calibri"/>
          <w:b w:val="0"/>
          <w:color w:val="2B2B2B"/>
          <w:sz w:val="22"/>
        </w:rPr>
        <w:t xml:space="preserve"> La portada (p. 1) y la diapositiva 1 declaran a la PhD. María Fernanda Rivera Sanclemente como directora del trabajo, y es quien modera el bloque del martes 18. Solo para tenerlo presente al momento de comentar en sala.</w:t>
      </w:r>
    </w:p>
    <w:p>
      <w:pPr>
        <w:pStyle w:val="ListNumber"/>
      </w:pPr>
      <w:r>
        <w:rPr>
          <w:rFonts w:ascii="Calibri" w:hAnsi="Calibri"/>
          <w:b/>
          <w:color w:val="2B2B2B"/>
          <w:sz w:val="22"/>
        </w:rPr>
        <w:t>Fechas inconsistentes en preliminares:</w:t>
      </w:r>
      <w:r>
        <w:rPr>
          <w:rFonts w:ascii="Calibri" w:hAnsi="Calibri"/>
          <w:b w:val="0"/>
          <w:color w:val="2B2B2B"/>
          <w:sz w:val="22"/>
        </w:rPr>
        <w:t xml:space="preserve"> portada fechada «julio de 2026» (p. 1) y declaraciones de originalidad y de exoneración firmadas el «17 de enero de 2026» (pp. 13–14). Conviene que la Dirección confirme que las declaraciones corresponden a esta entrega final y no a una previa.</w:t>
      </w:r>
    </w:p>
    <w:p>
      <w:pPr>
        <w:pStyle w:val="ListNumber"/>
      </w:pPr>
      <w:r>
        <w:rPr>
          <w:rFonts w:ascii="Calibri" w:hAnsi="Calibri"/>
          <w:b/>
          <w:color w:val="2B2B2B"/>
          <w:sz w:val="22"/>
        </w:rPr>
        <w:t>No hay reporte de similitud</w:t>
      </w:r>
      <w:r>
        <w:rPr>
          <w:rFonts w:ascii="Calibri" w:hAnsi="Calibri"/>
          <w:b w:val="0"/>
          <w:color w:val="2B2B2B"/>
          <w:sz w:val="22"/>
        </w:rPr>
        <w:t xml:space="preserve"> en el documento (buscado en las 140 páginas: sin mención de Turnitin ni de porcentaje). Es materia del docente metodólogo, no del jurado; lo dejo anotado para el acta.</w:t>
      </w:r>
    </w:p>
    <w:p>
      <w:pPr>
        <w:pStyle w:val="ListNumber"/>
      </w:pPr>
      <w:r>
        <w:rPr>
          <w:rFonts w:ascii="Calibri" w:hAnsi="Calibri"/>
          <w:b/>
          <w:color w:val="2B2B2B"/>
          <w:sz w:val="22"/>
        </w:rPr>
        <w:t>Entidad anonimizada</w:t>
      </w:r>
      <w:r>
        <w:rPr>
          <w:rFonts w:ascii="Calibri" w:hAnsi="Calibri"/>
          <w:b w:val="0"/>
          <w:color w:val="2B2B2B"/>
          <w:sz w:val="22"/>
        </w:rPr>
        <w:t xml:space="preserve"> («XXXXXX (Entidad Pública)», p. 85; contratos como «XXX-671-2021», p. 87). Es una decisión razonable de confidencialidad, no un defecto; solo conviene que el equipo lo explicite en sala si alguien pregunta por el sector.</w:t>
      </w:r>
    </w:p>
    <w:p>
      <w:pPr>
        <w:pStyle w:val="ListNumber"/>
      </w:pPr>
      <w:r>
        <w:rPr>
          <w:rFonts w:ascii="Calibri" w:hAnsi="Calibri"/>
          <w:b/>
          <w:color w:val="2B2B2B"/>
          <w:sz w:val="22"/>
        </w:rPr>
        <w:t>Versiones:</w:t>
      </w:r>
      <w:r>
        <w:rPr>
          <w:rFonts w:ascii="Calibri" w:hAnsi="Calibri"/>
          <w:b w:val="0"/>
          <w:color w:val="2B2B2B"/>
          <w:sz w:val="22"/>
        </w:rPr>
        <w:t xml:space="preserve"> en la carpeta hay un solo trabajo (V10) y una sola presentación (V7). Leí ambos; no hay versiones alternativas que puedan generar confusión sobre qué se evalúa.</w:t>
      </w:r>
    </w:p>
    <w:p>
      <w:pPr>
        <w:pStyle w:val="ListNumber"/>
      </w:pPr>
      <w:r>
        <w:rPr>
          <w:rFonts w:ascii="Calibri" w:hAnsi="Calibri"/>
          <w:b/>
          <w:color w:val="2B2B2B"/>
          <w:sz w:val="22"/>
        </w:rPr>
        <w:t>Punto de tiempo:</w:t>
      </w:r>
      <w:r>
        <w:rPr>
          <w:rFonts w:ascii="Calibri" w:hAnsi="Calibri"/>
          <w:b w:val="0"/>
          <w:color w:val="2B2B2B"/>
          <w:sz w:val="22"/>
        </w:rPr>
        <w:t xml:space="preserve"> el trabajo tiene 140 páginas y la presentación 32 diapositivas para 20 minutos con tres evaluadores. Si arrancan por la introducción, no alcanzan los objetivos 3 y 4; si el moderador lo permite, vale la pena pedirles al inicio que prioricen resultados y producto.</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