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26ET2-G-006 — Diseño e implementación de un sistema web inteligente de licitaciones para la optimización y transformación digital del proceso de compras en la empresa AGROINDUSTRIAL DE PALMA ACEITERA SA</w:t>
      </w:r>
    </w:p>
    <w:p>
      <w:r>
        <w:rPr>
          <w:rFonts w:ascii="Calibri" w:hAnsi="Calibri"/>
          <w:b/>
          <w:color w:val="2B2B2B"/>
          <w:sz w:val="22"/>
        </w:rPr>
        <w:t>Sustentación: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7:40 p. m. – 8:00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Integrantes:</w:t>
      </w:r>
      <w:r>
        <w:rPr>
          <w:rFonts w:ascii="Calibri" w:hAnsi="Calibri"/>
          <w:b w:val="0"/>
          <w:color w:val="2B2B2B"/>
          <w:sz w:val="22"/>
        </w:rPr>
        <w:t xml:space="preserve"> Edwin Vivas Soto (edwin.vivas@cun.edu.co) · Ingrid Johanna Romero Lázaro (ingrid.romerola@cun.edu.co) · Jimmy Leandro Calderón Rubio (jimmy.calderon@cun.edu.co)</w:t>
      </w:r>
    </w:p>
    <w:p>
      <w:r>
        <w:rPr>
          <w:rFonts w:ascii="Calibri" w:hAnsi="Calibri"/>
          <w:b/>
          <w:color w:val="2B2B2B"/>
          <w:sz w:val="22"/>
        </w:rPr>
        <w:t>Docente asesora:</w:t>
      </w:r>
      <w:r>
        <w:rPr>
          <w:rFonts w:ascii="Calibri" w:hAnsi="Calibri"/>
          <w:b w:val="0"/>
          <w:color w:val="2B2B2B"/>
          <w:sz w:val="22"/>
        </w:rPr>
        <w:t xml:space="preserve"> María Fernanda Rivera Sanclemente (p. 1) — es también la moderadora de la sesión</w:t>
      </w:r>
    </w:p>
    <w:p>
      <w:r>
        <w:rPr>
          <w:rFonts w:ascii="Calibri" w:hAnsi="Calibri"/>
          <w:b/>
          <w:color w:val="2B2B2B"/>
          <w:sz w:val="22"/>
        </w:rPr>
        <w:t>Línea:</w:t>
      </w:r>
      <w:r>
        <w:rPr>
          <w:rFonts w:ascii="Calibri" w:hAnsi="Calibri"/>
          <w:b w:val="0"/>
          <w:color w:val="2B2B2B"/>
          <w:sz w:val="22"/>
        </w:rPr>
        <w:t xml:space="preserve"> Gestión y Tecnologías (portada, p. 1; el cronograma la registra en singular, «Gestión y Tecnología»)</w:t>
      </w:r>
    </w:p>
    <w:p>
      <w:r>
        <w:rPr>
          <w:rFonts w:ascii="Calibri" w:hAnsi="Calibri"/>
          <w:b/>
          <w:color w:val="2B2B2B"/>
          <w:sz w:val="22"/>
        </w:rPr>
        <w:t>Documentos leídos: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Proyecto II - Sistema de licitaciones-Edwin Vivas-Ingrid Romero-Jimmy Calderon- vf.pdf</w:t>
      </w:r>
      <w:r>
        <w:rPr>
          <w:rFonts w:ascii="Calibri" w:hAnsi="Calibri"/>
          <w:b w:val="0"/>
          <w:color w:val="2B2B2B"/>
          <w:sz w:val="22"/>
        </w:rPr>
        <w:t xml:space="preserve"> — </w:t>
      </w:r>
      <w:r>
        <w:rPr>
          <w:rFonts w:ascii="Calibri" w:hAnsi="Calibri"/>
          <w:b/>
          <w:color w:val="2B2B2B"/>
          <w:sz w:val="22"/>
        </w:rPr>
        <w:t>249 páginas</w:t>
      </w:r>
      <w:r>
        <w:rPr>
          <w:rFonts w:ascii="Calibri" w:hAnsi="Calibri"/>
          <w:b w:val="0"/>
          <w:color w:val="2B2B2B"/>
          <w:sz w:val="22"/>
        </w:rPr>
        <w:t>. Es la única versión del trabajo en la carpeta y viene marcada «vf». Todas las citas «(p. N)» de esta ficha son de este archivo salvo que se indique «(diap. N)».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Proyecto II - Sistema Licitaciones Web.pdf</w:t>
      </w:r>
      <w:r>
        <w:rPr>
          <w:rFonts w:ascii="Calibri" w:hAnsi="Calibri"/>
          <w:b w:val="0"/>
          <w:color w:val="2B2B2B"/>
          <w:sz w:val="22"/>
        </w:rPr>
        <w:t xml:space="preserve"> — </w:t>
      </w:r>
      <w:r>
        <w:rPr>
          <w:rFonts w:ascii="Calibri" w:hAnsi="Calibri"/>
          <w:b/>
          <w:color w:val="2B2B2B"/>
          <w:sz w:val="22"/>
        </w:rPr>
        <w:t>16 diapositivas</w:t>
      </w:r>
      <w:r>
        <w:rPr>
          <w:rFonts w:ascii="Calibri" w:hAnsi="Calibri"/>
          <w:b w:val="0"/>
          <w:color w:val="2B2B2B"/>
          <w:sz w:val="22"/>
        </w:rPr>
        <w:t xml:space="preserve"> (la presentación de sustentación).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Resumen para leer en 5 minutos</w:t>
      </w:r>
    </w:p>
    <w:p>
      <w:r>
        <w:rPr>
          <w:rFonts w:ascii="Calibri" w:hAnsi="Calibri"/>
          <w:b w:val="0"/>
          <w:color w:val="2B2B2B"/>
          <w:sz w:val="22"/>
        </w:rPr>
        <w:t>Agroindustrial de Palma Aceitera S.A. licita sus compras a mano: invitaciones enviadas una por una, ofertas recibidas por correo, consolidación en Excel, evaluación multicriterio y ranking manuales; ciclo de 10 a 15 días, carga alta sobre cinco colaboradores, sin trazabilidad ni indicadores automáticos (pp. 22-23). La escala del problema está cuantificada: 25 categorías promedio y unos 7.241 productos por licitación (p. 93). La pregunta es cómo un sistema web basado en BPM y evaluación multicriterio optimiza ese proceso reduciendo tiempos y mejorando trazabilidad (p. 23).</w:t>
      </w:r>
    </w:p>
    <w:p>
      <w:r>
        <w:rPr>
          <w:rFonts w:ascii="Calibri" w:hAnsi="Calibri"/>
          <w:b/>
          <w:color w:val="2B2B2B"/>
          <w:sz w:val="22"/>
        </w:rPr>
        <w:t>Método.</w:t>
      </w:r>
      <w:r>
        <w:rPr>
          <w:rFonts w:ascii="Calibri" w:hAnsi="Calibri"/>
          <w:b w:val="0"/>
          <w:color w:val="2B2B2B"/>
          <w:sz w:val="22"/>
        </w:rPr>
        <w:t xml:space="preserve"> Enfoque mixto (p. 64), censo del 100 % de la población: los 6 funcionarios del área —1 directora administrativa y 5 analistas— (p. 74). Instrumentos: entrevista semiestructurada aplicada a E1-E6 (pp. 80-81), observación directa con registro cronológico de 16 actividades con tiempos (pp. 97-99), revisión documental (p. 105). Marcos integrados: PMBOK, SCRUM, BPM y ADKAR (p. 65), desplegados en siete fases con productos por objetivo (pp. 72-74).</w:t>
      </w:r>
    </w:p>
    <w:p>
      <w:r>
        <w:rPr>
          <w:rFonts w:ascii="Calibri" w:hAnsi="Calibri"/>
          <w:b/>
          <w:color w:val="2B2B2B"/>
          <w:sz w:val="22"/>
        </w:rPr>
        <w:t>Diagnóstico.</w:t>
      </w:r>
      <w:r>
        <w:rPr>
          <w:rFonts w:ascii="Calibri" w:hAnsi="Calibri"/>
          <w:b w:val="0"/>
          <w:color w:val="2B2B2B"/>
          <w:sz w:val="22"/>
        </w:rPr>
        <w:t xml:space="preserve"> El 50 % de las propuestas llegaba con error manual; consolidación y evaluación tomaban unas 32 horas y el ciclo completo unos 12,5 días (p. 100). Consolidar y evaluar es el cuello de botella declarado (p. 103).</w:t>
      </w:r>
    </w:p>
    <w:p>
      <w:r>
        <w:rPr>
          <w:rFonts w:ascii="Calibri" w:hAnsi="Calibri"/>
          <w:b/>
          <w:color w:val="2B2B2B"/>
          <w:sz w:val="22"/>
        </w:rPr>
        <w:t>Producto.</w:t>
      </w:r>
      <w:r>
        <w:rPr>
          <w:rFonts w:ascii="Calibri" w:hAnsi="Calibri"/>
          <w:b w:val="0"/>
          <w:color w:val="2B2B2B"/>
          <w:sz w:val="22"/>
        </w:rPr>
        <w:t xml:space="preserve"> Sistema web cliente-servidor multicapa: Blazor, .NET Core 9 y SQL Server (pp. 57-58, 181), con 10 módulos —usuarios, proveedores, categorías, licitaciones, productos, ofertas, evaluación multicriterio, adjudicación, auditoría y notificaciones— (p. 227). El motor multicriterio pondera precio 35 %, marca 20 %, capacidad financiera 15 %, plazo de pago 10 %, tiempo de entrega 10 % y valor agregado 10 % (pp. 143-144). La API REST está documentada endpoint por endpoint contra procedimientos almacenados (pp. 117-158). Hay BPMN AS-IS (p. 167) y TO-BE (p. 178), doce reglas de negocio RN-01 a RN-12 (pp. 174-175) y medio centenar de capturas de las pruebas por módulo (Figuras 35 a 86, pp. 192-222). El sistema está en operación real on-premise desde el 1 de junio de 2026 y ha gestionado 10 licitaciones (p. 181).</w:t>
      </w:r>
    </w:p>
    <w:p>
      <w:r>
        <w:rPr>
          <w:rFonts w:ascii="Calibri" w:hAnsi="Calibri"/>
          <w:b/>
          <w:color w:val="2B2B2B"/>
          <w:sz w:val="22"/>
        </w:rPr>
        <w:t>Resultados.</w:t>
      </w:r>
      <w:r>
        <w:rPr>
          <w:rFonts w:ascii="Calibri" w:hAnsi="Calibri"/>
          <w:b w:val="0"/>
          <w:color w:val="2B2B2B"/>
          <w:sz w:val="22"/>
        </w:rPr>
        <w:t xml:space="preserve"> Ciclo 12,5 → 4,8 días (-61,6 %); consolidación 32 h → 0,5 h; errores 50 % → 0 %; madurez digital 35 % → 88 % (Tabla 55, p. 233). UAT aprobada por los 6 funcionarios sobre los 10 escenarios, 100 % de conformidad (p. 231). La matriz ADKAR deja Refuerzo como la dimensión más débil, 76,6 %, y el texto lo asume como riesgo real de regresión (pp. 235, 241).</w:t>
      </w:r>
    </w:p>
    <w:p>
      <w:r>
        <w:rPr>
          <w:rFonts w:ascii="Calibri" w:hAnsi="Calibri"/>
          <w:b/>
          <w:color w:val="2B2B2B"/>
          <w:sz w:val="22"/>
        </w:rPr>
        <w:t>Límites declarados.</w:t>
      </w:r>
      <w:r>
        <w:rPr>
          <w:rFonts w:ascii="Calibri" w:hAnsi="Calibri"/>
          <w:b w:val="0"/>
          <w:color w:val="2B2B2B"/>
          <w:sz w:val="22"/>
        </w:rPr>
        <w:t xml:space="preserve"> Sin integración con ERP, on-premise, no generalizable, y la adjudicación final sigue siendo humana (pp. 28-30, 226, 241).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Coherencia título → objetivo → resultados</w:t>
      </w:r>
    </w:p>
    <w:p>
      <w:r>
        <w:rPr>
          <w:rFonts w:ascii="Calibri" w:hAnsi="Calibri"/>
          <w:b w:val="0"/>
          <w:color w:val="2B2B2B"/>
          <w:sz w:val="22"/>
        </w:rPr>
        <w:t xml:space="preserve">Título (p. 1), objetivo general (p. 24) y pregunta de investigación (p. 23) dicen lo mismo: </w:t>
      </w:r>
      <w:r>
        <w:rPr>
          <w:rFonts w:ascii="Calibri" w:hAnsi="Calibri"/>
          <w:b/>
          <w:color w:val="2B2B2B"/>
          <w:sz w:val="22"/>
        </w:rPr>
        <w:t>diseñar e implementar</w:t>
      </w:r>
      <w:r>
        <w:rPr>
          <w:rFonts w:ascii="Calibri" w:hAnsi="Calibri"/>
          <w:b w:val="0"/>
          <w:color w:val="2B2B2B"/>
          <w:sz w:val="22"/>
        </w:rPr>
        <w:t xml:space="preserve"> un sistema web de licitaciones para optimizar el proceso de compras. El verbo obliga a mostrar producto implementado, y el producto está implementado y en producción (p. 181). El único adjetivo que el trabajo no sustenta es </w:t>
      </w:r>
      <w:r>
        <w:rPr>
          <w:rFonts w:ascii="Calibri" w:hAnsi="Calibri"/>
          <w:b/>
          <w:color w:val="2B2B2B"/>
          <w:sz w:val="22"/>
        </w:rPr>
        <w:t>«inteligente»</w:t>
      </w:r>
      <w:r>
        <w:rPr>
          <w:rFonts w:ascii="Calibri" w:hAnsi="Calibri"/>
          <w:b w:val="0"/>
          <w:color w:val="2B2B2B"/>
          <w:sz w:val="22"/>
        </w:rPr>
        <w:t xml:space="preserve"> del título: el motor es una fórmula ponderada determinista (pp. 143-144) y la incorporación de IA aparece como recomendación futura (p. 242). </w:t>
      </w:r>
      <w:r>
        <w:rPr>
          <w:rFonts w:ascii="Calibri" w:hAnsi="Calibri"/>
          <w:b/>
          <w:color w:val="2B2B2B"/>
          <w:sz w:val="22"/>
        </w:rPr>
        <w:t>Acreditados sin reservas: 2 de 4; los otros dos, con vacíos identificables.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Objetivo específico</w:t>
            </w:r>
          </w:p>
        </w:tc>
        <w:tc>
          <w:tcPr>
            <w:tcW w:type="dxa" w:w="244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¿Se cumplió?</w:t>
            </w:r>
          </w:p>
        </w:tc>
        <w:tc>
          <w:tcPr>
            <w:tcW w:type="dxa" w:w="244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Evidencia (p. N)</w:t>
            </w:r>
          </w:p>
        </w:tc>
        <w:tc>
          <w:tcPr>
            <w:tcW w:type="dxa" w:w="244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Qué falta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1. Analizar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el proceso actual y </w:t>
            </w:r>
            <w:r>
              <w:rPr>
                <w:rFonts w:ascii="Calibri" w:hAnsi="Calibri"/>
                <w:b/>
                <w:color w:val="2B2B2B"/>
                <w:sz w:val="20"/>
              </w:rPr>
              <w:t>diseñar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el modelo optimizado bajo BPM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Sí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Caracterización del proceso observado (p. 93), registro cronológico con tiempos por actividad (pp. 97-99), lista de chequeo (p. 100), BPMN AS-IS (p. 167), BPMN TO-BE (p. 178), matriz comparativa AS-IS/TO-BE (Tabla 53, p. 225)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Nada sustantivo. Es la sección mejor sustentada del trabajo</w:t>
            </w:r>
          </w:p>
        </w:tc>
      </w:tr>
      <w:tr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2. Diseñar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la arquitectura MVC en capas y </w:t>
            </w:r>
            <w:r>
              <w:rPr>
                <w:rFonts w:ascii="Calibri" w:hAnsi="Calibri"/>
                <w:b/>
                <w:color w:val="2B2B2B"/>
                <w:sz w:val="20"/>
              </w:rPr>
              <w:t>desarrollar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las funcionalidades</w:t>
            </w:r>
          </w:p>
        </w:tc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Sí</w:t>
            </w:r>
          </w:p>
        </w:tc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Arquitectura en tres capas con tecnología por capa (pp. 56-58), modelo E-R (pp. 183-186), inventario de 10 módulos (Tabla 54, p. 227), API REST documentada (pp. 117-158)</w:t>
            </w:r>
          </w:p>
        </w:tc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El patrón </w:t>
            </w:r>
            <w:r>
              <w:rPr>
                <w:rFonts w:ascii="Calibri" w:hAnsi="Calibri"/>
                <w:b/>
                <w:color w:val="2B2B2B"/>
                <w:sz w:val="20"/>
              </w:rPr>
              <w:t>MVC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que nombran el título y el objetivo solo aparece en el marco teórico (pp. 51-52, 56); la Fase V describe «arquitectura cliente-servidor multicapa» (p. 181) con frontend SPA en Blazor (p. 57), que no es MVC en sentido estricto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3. Validar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con pruebas funcionales, de integración, de usabilidad y UAT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Sí, con dos vacíos formales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Pruebas por módulo con capturas (pp. 193-222), matriz de pruebas sobre 10 procesos (Figura 87, p. 229), matriz UAT por rol (Figura 88, p. 230), 100 % de conformidad (p. 231)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El producto 9 de la matriz metodológica —«Acta de Aceptación Funcional del Sistema: certificación firmada»— figura como </w:t>
            </w:r>
            <w:r>
              <w:rPr>
                <w:rFonts w:ascii="Calibri" w:hAnsi="Calibri"/>
                <w:b/>
                <w:color w:val="2B2B2B"/>
                <w:sz w:val="20"/>
              </w:rPr>
              <w:t>«(pendiente)»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(p. 73) y no aparece en los anexos, que solo traen entrevistas y observación (pp. 248-249). Las </w:t>
            </w:r>
            <w:r>
              <w:rPr>
                <w:rFonts w:ascii="Calibri" w:hAnsi="Calibri"/>
                <w:b/>
                <w:color w:val="2B2B2B"/>
                <w:sz w:val="20"/>
              </w:rPr>
              <w:t>pruebas de seguridad básica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anunciadas en la metodología (p. 68) no se reportan en resultados (p. 228)</w:t>
            </w:r>
          </w:p>
        </w:tc>
      </w:tr>
      <w:tr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4. Implementar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on-premise, ejecutar el plan de cambio y </w:t>
            </w:r>
            <w:r>
              <w:rPr>
                <w:rFonts w:ascii="Calibri" w:hAnsi="Calibri"/>
                <w:b/>
                <w:color w:val="2B2B2B"/>
                <w:sz w:val="20"/>
              </w:rPr>
              <w:t>evaluar impacto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con KPI y madurez digital comparativa</w:t>
            </w:r>
          </w:p>
        </w:tc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</w:t>
            </w:r>
          </w:p>
        </w:tc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Puesta en operación 1/6/2026 (p. 181), despliegue y plan ADKAR (p. 232), Tabla 55 de KPI (p. 233), matriz ADKAR de los 6 usuarios (Tabla 56, p. 235)</w:t>
            </w:r>
          </w:p>
        </w:tc>
        <w:tc>
          <w:tcPr>
            <w:tcW w:type="dxa" w:w="244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El instrumento de madurez digital declarado en metodología tiene cinco dimensiones —automatización, integración, analítica, seguridad, gobernanza, escala 1-5, antes y después— (p. 76) y </w:t>
            </w:r>
            <w:r>
              <w:rPr>
                <w:rFonts w:ascii="Calibri" w:hAnsi="Calibri"/>
                <w:b/>
                <w:color w:val="2B2B2B"/>
                <w:sz w:val="20"/>
              </w:rPr>
              <w:t>no se aplicó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lo que se reporta como «Índice de Madurez Digital» es el porcentaje de adopción ADKAR (pp. 235-236). La línea base del 35 % no tiene instrumento ni fecha en ninguna parte del documento (buscado en 6.7, p. 76, y en 8.1.5, pp. 232-237)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Fortalezas verificables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El producto existe, está en producción y se puede auditar.</w:t>
      </w:r>
      <w:r>
        <w:rPr>
          <w:rFonts w:ascii="Calibri" w:hAnsi="Calibri"/>
          <w:b w:val="0"/>
          <w:color w:val="2B2B2B"/>
          <w:sz w:val="22"/>
        </w:rPr>
        <w:t xml:space="preserve"> Operación real on-premise desde el 1 de junio de 2026 y 10 licitaciones gestionadas (p. 181), con medio centenar de capturas módulo por módulo —Figuras 35 a 86, pp. 192-222—, incluidas las correcciones tras los fallos de interfaz (pp. 216-217). No es una maqueta.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 línea base está medida, no supuesta.</w:t>
      </w:r>
      <w:r>
        <w:rPr>
          <w:rFonts w:ascii="Calibri" w:hAnsi="Calibri"/>
          <w:b w:val="0"/>
          <w:color w:val="2B2B2B"/>
          <w:sz w:val="22"/>
        </w:rPr>
        <w:t xml:space="preserve"> El registro cronológico de observación asigna tiempo, herramienta y riesgo a cada una de las 16 actividades del proceso manual (pp. 97-99), y de ahí salen los 12,5 días y las 32 horas (p. 100). Muy pocos trabajos de este cohorte tienen un AS-IS cuantificado.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Ingeniería documentada al nivel que se le pide a un especialista.</w:t>
      </w:r>
      <w:r>
        <w:rPr>
          <w:rFonts w:ascii="Calibri" w:hAnsi="Calibri"/>
          <w:b w:val="0"/>
          <w:color w:val="2B2B2B"/>
          <w:sz w:val="22"/>
        </w:rPr>
        <w:t xml:space="preserve"> Cada endpoint con parámetros de entrada y salida, método y procedimiento almacenado asociado (pp. 117-158); modelo E-R por dominio (pp. 183-186); reglas de negocio del TO-BE numeradas RN-01 a RN-12 (pp. 174-176).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El motor multicriterio es explícito y suma 100 %:</w:t>
      </w:r>
      <w:r>
        <w:rPr>
          <w:rFonts w:ascii="Calibri" w:hAnsi="Calibri"/>
          <w:b w:val="0"/>
          <w:color w:val="2B2B2B"/>
          <w:sz w:val="22"/>
        </w:rPr>
        <w:t xml:space="preserve"> precio 35 %, marca 20 %, capacidad financiera 15 %, plazo de pago 10 %, tiempo de entrega 10 %, valor agregado 10 %, con calificación final en escala 1-5 (pp. 143-144). Se puede discutir, que es exactamente lo que debe poder hacerse con un criterio de adjudicación.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Honestidad en tres puntos incómodos.</w:t>
      </w:r>
      <w:r>
        <w:rPr>
          <w:rFonts w:ascii="Calibri" w:hAnsi="Calibri"/>
          <w:b w:val="0"/>
          <w:color w:val="2B2B2B"/>
          <w:sz w:val="22"/>
        </w:rPr>
        <w:t xml:space="preserve"> Explican por qué el UAT final da 100 % después de haber fallado en las primeras pruebas (p. 240); reconocen que el 88 % de adopción «no debe verse como algo perfecto» y que el riesgo de volver al correo sigue vivo (p. 241); y dejan por escrito que el TO-BE conservó la decisión final en la Dirección Administrativa (p. 226).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 discusión discute de verdad.</w:t>
      </w:r>
      <w:r>
        <w:rPr>
          <w:rFonts w:ascii="Calibri" w:hAnsi="Calibri"/>
          <w:b w:val="0"/>
          <w:color w:val="2B2B2B"/>
          <w:sz w:val="22"/>
        </w:rPr>
        <w:t xml:space="preserve"> Contrasta sus resultados con Arquinigo y López (2025), D'Cristofaro (2022), Chacón (2025), Bravo y Brauer (2023) y González (2025), y sostiene una diferencia propia: que para esta empresa no hacía falta blockchain ni nube, sino base relacional con validaciones (pp. 238-240). Eso es análisis, no compilación.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Debilidades y huecos (con página)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 madurez digital no se midió con el instrumento que el propio documento declara.</w:t>
      </w:r>
      <w:r>
        <w:rPr>
          <w:rFonts w:ascii="Calibri" w:hAnsi="Calibri"/>
          <w:b w:val="0"/>
          <w:color w:val="2B2B2B"/>
          <w:sz w:val="22"/>
        </w:rPr>
        <w:t xml:space="preserve"> Metodología: cinco dimensiones (automatización, integración, analítica, seguridad, gobernanza), escala 1-5, antes y después (p. 76). Resultados: matriz ADKAR de cinco dimensiones de adopción aplicada a los 6 funcionarios (p. 235) y rebautizada «Índice de Madurez Digital» (p. 236). Son dos constructos distintos, y </w:t>
      </w:r>
      <w:r>
        <w:rPr>
          <w:rFonts w:ascii="Calibri" w:hAnsi="Calibri"/>
          <w:b/>
          <w:color w:val="2B2B2B"/>
          <w:sz w:val="22"/>
        </w:rPr>
        <w:t>la línea base del 35 % no tiene instrumento, fecha ni respondientes</w:t>
      </w:r>
      <w:r>
        <w:rPr>
          <w:rFonts w:ascii="Calibri" w:hAnsi="Calibri"/>
          <w:b w:val="0"/>
          <w:color w:val="2B2B2B"/>
          <w:sz w:val="22"/>
        </w:rPr>
        <w:t xml:space="preserve"> en ninguna página.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Las 32 horas están contadas dos veces.</w:t>
      </w:r>
      <w:r>
        <w:rPr>
          <w:rFonts w:ascii="Calibri" w:hAnsi="Calibri"/>
          <w:b w:val="0"/>
          <w:color w:val="2B2B2B"/>
          <w:sz w:val="22"/>
        </w:rPr>
        <w:t xml:space="preserve"> La p. 100 dice que consolidación </w:t>
      </w:r>
      <w:r>
        <w:rPr>
          <w:rFonts w:ascii="Calibri" w:hAnsi="Calibri"/>
          <w:b/>
          <w:color w:val="2B2B2B"/>
          <w:sz w:val="22"/>
        </w:rPr>
        <w:t>y</w:t>
      </w:r>
      <w:r>
        <w:rPr>
          <w:rFonts w:ascii="Calibri" w:hAnsi="Calibri"/>
          <w:b w:val="0"/>
          <w:color w:val="2B2B2B"/>
          <w:sz w:val="22"/>
        </w:rPr>
        <w:t xml:space="preserve"> evaluación juntas tomaban unas 32 horas. La Tabla 55 (p. 233) abre dos KPI —«Tiempo de Consolidación de las ofertas» y «Tiempo de Evaluación de Criterios»— y le asigna </w:t>
      </w:r>
      <w:r>
        <w:rPr>
          <w:rFonts w:ascii="Calibri" w:hAnsi="Calibri"/>
          <w:b/>
          <w:color w:val="2B2B2B"/>
          <w:sz w:val="22"/>
        </w:rPr>
        <w:t>32 horas a cada uno</w:t>
      </w:r>
      <w:r>
        <w:rPr>
          <w:rFonts w:ascii="Calibri" w:hAnsi="Calibri"/>
          <w:b w:val="0"/>
          <w:color w:val="2B2B2B"/>
          <w:sz w:val="22"/>
        </w:rPr>
        <w:t>, ambos con -98,4 %. Además, el registro de observación da 6-8 h de consolidación, 3 h de comparación y 2 h de evaluación multicriterio (p. 98), sin declarar si esos tiempos son por categoría o por licitación.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El mismo resultado se reporta con dos cifras.</w:t>
      </w:r>
      <w:r>
        <w:rPr>
          <w:rFonts w:ascii="Calibri" w:hAnsi="Calibri"/>
          <w:b w:val="0"/>
          <w:color w:val="2B2B2B"/>
          <w:sz w:val="22"/>
        </w:rPr>
        <w:t xml:space="preserve"> El salto 35 % → 88 % aparece como «+151,4 %» en la Tabla 55 (p. 233) y como «53 %» / «mejora significativa (53 %)» en el texto (pp. 232 y 236). Ambas son operaciones legítimas —relativa y en puntos porcentuales— pero conviven sin explicación en el mismo capítulo.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El acta de aceptación, que es la evidencia formal del objetivo 3, sigue marcada «(pendiente)»</w:t>
      </w:r>
      <w:r>
        <w:rPr>
          <w:rFonts w:ascii="Calibri" w:hAnsi="Calibri"/>
          <w:b w:val="0"/>
          <w:color w:val="2B2B2B"/>
          <w:sz w:val="22"/>
        </w:rPr>
        <w:t xml:space="preserve"> (p. 73) y no está en los anexos (pp. 248-249). El sustento del 100 % de UAT son dos figuras de matriz (pp. 229-230), no un documento firmado por el cliente.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Las pruebas de seguridad básica se anuncian y no se reportan.</w:t>
      </w:r>
      <w:r>
        <w:rPr>
          <w:rFonts w:ascii="Calibri" w:hAnsi="Calibri"/>
          <w:b w:val="0"/>
          <w:color w:val="2B2B2B"/>
          <w:sz w:val="22"/>
        </w:rPr>
        <w:t xml:space="preserve"> Están en el plan de validación (p. 68) y el trabajo invoca ISO/IEC 27001:2022, RBAC, registro de eventos y protección de credenciales como justificación (p. 27), pero el capítulo de resultados solo declara pruebas funcionales, de integración y de usabilidad (p. 228). Es información financiera de proveedores.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 metodología está escrita en futuro y el resumen también.</w:t>
      </w:r>
      <w:r>
        <w:rPr>
          <w:rFonts w:ascii="Calibri" w:hAnsi="Calibri"/>
          <w:b w:val="0"/>
          <w:color w:val="2B2B2B"/>
          <w:sz w:val="22"/>
        </w:rPr>
        <w:t xml:space="preserve"> «Se realizará», «se medirá», «se evaluarán», «El proyecto se ejecutará» (pp. 64-77); el resumen dice «la implementación on-premise </w:t>
      </w:r>
      <w:r>
        <w:rPr>
          <w:rFonts w:ascii="Calibri" w:hAnsi="Calibri"/>
          <w:b/>
          <w:color w:val="2B2B2B"/>
          <w:sz w:val="22"/>
        </w:rPr>
        <w:t>incluirá</w:t>
      </w:r>
      <w:r>
        <w:rPr>
          <w:rFonts w:ascii="Calibri" w:hAnsi="Calibri"/>
          <w:b w:val="0"/>
          <w:color w:val="2B2B2B"/>
          <w:sz w:val="22"/>
        </w:rPr>
        <w:t xml:space="preserve"> un plan de gestión del cambio» (p. 16) cuando ya se ejecutó (p. 232). El capítulo de anteproyecto no se reescribió en pasado tras la ejecución.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Los formatos de observación en blanco quedaron dentro del cuerpo.</w:t>
      </w:r>
      <w:r>
        <w:rPr>
          <w:rFonts w:ascii="Calibri" w:hAnsi="Calibri"/>
          <w:b w:val="0"/>
          <w:color w:val="2B2B2B"/>
          <w:sz w:val="22"/>
        </w:rPr>
        <w:t xml:space="preserve"> Las tablas 16, 17 y 18 están vacías, con «Fecha de observación», «Investigador» y «Participantes observados» sin diligenciar (pp. 94-95), y las versiones con datos aparecen después como tablas 19 y 20 (pp. 97-100). Por eso no se puede fechar la medición de la línea base.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Restos de edición y referencias cruzadas rotas.</w:t>
      </w:r>
      <w:r>
        <w:rPr>
          <w:rFonts w:ascii="Calibri" w:hAnsi="Calibri"/>
          <w:b w:val="0"/>
          <w:color w:val="2B2B2B"/>
          <w:sz w:val="22"/>
        </w:rPr>
        <w:t xml:space="preserve"> «(</w:t>
      </w:r>
      <w:r>
        <w:rPr>
          <w:rFonts w:ascii="Calibri" w:hAnsi="Calibri"/>
          <w:b/>
          <w:color w:val="2B2B2B"/>
          <w:sz w:val="22"/>
        </w:rPr>
        <w:t xml:space="preserve">)» suelto (p. 65); «(Nota: ajustado a entorno on-premise según su objetivo)» (p. 73); «Fase agregada para cubrir íntegramente su cuarto objetivo» (p. 74) —anotaciones en segunda persona dirigidas a un tercero—; «Tabla B-1» (p. 93) y «Tabla B-5» (p. 105), que no existen con esa nomenclatura; «Tabla K» (p. 237); «tabla 52» por Tabla 54 (p. 226); «tabla 53» por Tabla 55 (p. 232); «figura 83» por Figura 89 (p. 231); </w:t>
      </w:r>
      <w:r>
        <w:rPr>
          <w:rFonts w:ascii="Calibri" w:hAnsi="Calibri"/>
          <w:b w:val="0"/>
          <w:color w:val="2B2B2B"/>
          <w:sz w:val="22"/>
        </w:rPr>
        <w:t>las Figuras 84, 85 y 86 están numeradas dos veces</w:t>
      </w:r>
      <w:r>
        <w:rPr>
          <w:rFonts w:ascii="Calibri" w:hAnsi="Calibri"/>
          <w:b/>
          <w:color w:val="2B2B2B"/>
          <w:sz w:val="22"/>
        </w:rPr>
        <w:t xml:space="preserve"> —capturas de prueba en las pp. 220-222 y gráficos de resultados en las pp. 236-237—; «seis fases» cuando la matriz tiene siete (pp. 72, 78 vs. p. 74); una sección «7.2.2 Indicadores Clave» incrustada dentro del capítulo 6 (p. 76); «Responde La transformación digital…» (p. 25); «1 Tabla de» como título del índice (p. 3). </w:t>
      </w:r>
      <w:r>
        <w:rPr>
          <w:rFonts w:ascii="Calibri" w:hAnsi="Calibri"/>
          <w:b w:val="0"/>
          <w:color w:val="2B2B2B"/>
          <w:sz w:val="22"/>
        </w:rPr>
        <w:t>No se preguntan en sala**: se anotan como dato sobre el cuidado del documento y como insumo para la Dirección.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Seis fuentes citadas en el texto no están en la lista de referencias:</w:t>
      </w:r>
      <w:r>
        <w:rPr>
          <w:rFonts w:ascii="Calibri" w:hAnsi="Calibri"/>
          <w:b w:val="0"/>
          <w:color w:val="2B2B2B"/>
          <w:sz w:val="22"/>
        </w:rPr>
        <w:t xml:space="preserve"> Dumas et al. (2018) (pp. 36, 45, 53), Laudon y Laudon (2020) (pp. 45, 53), Bass, Clements &amp; Kazman (2012) (p. 48), PMI (2021) (p. 65), Schwaber y Sutherland (2020) (p. 67) y Hiatt (2006) (p. 75) —el autor del modelo ADKAR, que es uno de los cuatro marcos del trabajo—. La lista trae 21 entradas (pp. 244-247), no está en orden alfabético estricto (AXELOS antes de Arguedas y Armas; Bayona antes de Baiges) y una URL quedó con «https:// https://» (p. 245).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No hay cronograma, presupuesto ni reporte de similitud.</w:t>
      </w:r>
      <w:r>
        <w:rPr>
          <w:rFonts w:ascii="Calibri" w:hAnsi="Calibri"/>
          <w:b w:val="0"/>
          <w:color w:val="2B2B2B"/>
          <w:sz w:val="22"/>
        </w:rPr>
        <w:t xml:space="preserve"> Búsqueda de texto sobre las 249 páginas: «cronograma» solo aparece como ítem de planificación PMBOK (p. 66), «presupuesto» solo como presupuesto oficial de una licitación (p. 157), y «Turnitin»/«similitud» no aparecen. La rúbrica de ACA 3 pesa 15 % en cronograma-presupuesto-viabilidad y 15 % en integridad; es del metodólogo, pero se registra.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El enfoque mixto está mal enunciado en su propia frase:</w:t>
      </w:r>
      <w:r>
        <w:rPr>
          <w:rFonts w:ascii="Calibri" w:hAnsi="Calibri"/>
          <w:b w:val="0"/>
          <w:color w:val="2B2B2B"/>
          <w:sz w:val="22"/>
        </w:rPr>
        <w:t xml:space="preserve"> «técnicas cualitativas (observación directa, entrevistas semiestructuradas) y cuantitativas (entrevistas semiestructuradas)» (p. 64). Lo cuantitativo del trabajo son los KPI de proceso, no las entrevistas.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PREGUNTAS ANTES de escuchar la sustentación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🎯 Las 3 que sí voy a preguntar</w:t>
      </w:r>
    </w:p>
    <w:p>
      <w:r>
        <w:rPr>
          <w:rFonts w:ascii="Calibri" w:hAnsi="Calibri"/>
          <w:b/>
          <w:color w:val="2B2B2B"/>
          <w:sz w:val="22"/>
        </w:rPr>
        <w:t>1. Con qué instrumento se midió el 35 % de madurez 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cuarto objetivo pide medición comparativa de madurez digital, y en la página 76 declaran un instrumento de cinco dimensiones —automatización, integración, analítica, seguridad y gobernanza— en escala de 1 a 5, antes y después. Lo que reportan en la página 235 es la matriz ADKAR de adopción. ¿Con qué instrumento, cuándo y a quiénes midieron el 35 % de línea base?»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Por qué:</w:t>
      </w:r>
      <w:r>
        <w:rPr>
          <w:rFonts w:ascii="Calibri" w:hAnsi="Calibri"/>
          <w:b w:val="0"/>
          <w:color w:val="2B2B2B"/>
          <w:sz w:val="22"/>
        </w:rPr>
        <w:t xml:space="preserve"> p. 76 (instrumento declarado) frente a pp. 235-236 (instrumento efectivamente aplicado y rebautizado «Índice de Madurez Digital»). Es el único objetivo específico que no cierra con la evidencia que él mismo anunció, y es el que sostiene la frase más fuerte del trabajo: elevar la madurez digital de la empresa.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Qué la resuelve:</w:t>
      </w:r>
      <w:r>
        <w:rPr>
          <w:rFonts w:ascii="Calibri" w:hAnsi="Calibri"/>
          <w:b w:val="0"/>
          <w:color w:val="2B2B2B"/>
          <w:sz w:val="22"/>
        </w:rPr>
        <w:t xml:space="preserve"> que reconozcan con precisión que midieron </w:t>
      </w:r>
      <w:r>
        <w:rPr>
          <w:rFonts w:ascii="Calibri" w:hAnsi="Calibri"/>
          <w:b/>
          <w:color w:val="2B2B2B"/>
          <w:sz w:val="22"/>
        </w:rPr>
        <w:t>adopción del cambio</w:t>
      </w:r>
      <w:r>
        <w:rPr>
          <w:rFonts w:ascii="Calibri" w:hAnsi="Calibri"/>
          <w:b w:val="0"/>
          <w:color w:val="2B2B2B"/>
          <w:sz w:val="22"/>
        </w:rPr>
        <w:t xml:space="preserve"> (ADKAR) y no las cinco dimensiones de madurez, expliquen por qué ese proxy es defendible en un proyecto de esta duración, y digan de dónde salió el 35 % —aunque sea «es una valoración del equipo a partir de la lista de chequeo de la página 100»—. Si además distinguen los dos constructos con soltura, esta pregunta les suma.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Qué la agrava:</w:t>
      </w:r>
      <w:r>
        <w:rPr>
          <w:rFonts w:ascii="Calibri" w:hAnsi="Calibri"/>
          <w:b w:val="0"/>
          <w:color w:val="2B2B2B"/>
          <w:sz w:val="22"/>
        </w:rPr>
        <w:t xml:space="preserve"> sostener que ADKAR mide madurez digital sin matiz, o improvisar un origen del 35 % que no esté en el documento. Si el 35 % es una estimación del equipo, hay que decirlo; presentarlo como medición sería el problema.</w:t>
      </w:r>
    </w:p>
    <w:p>
      <w:r>
        <w:rPr>
          <w:rFonts w:ascii="Calibri" w:hAnsi="Calibri"/>
          <w:b/>
          <w:color w:val="2B2B2B"/>
          <w:sz w:val="22"/>
        </w:rPr>
        <w:t>2. En cuántas de las 10 licitaciones la Dirección adjudicó al proveedor que sugirió el sistema.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valor del proyecto está en el motor multicriterio que genera el ranking, y ustedes conservaron la decisión final en la Dirección Administrativa. En las 10 licitaciones ya ejecutadas, ¿en cuántas se adjudicó al proveedor sugerido por el sistema, y qué pasó en las que no?»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Por qué:</w:t>
      </w:r>
      <w:r>
        <w:rPr>
          <w:rFonts w:ascii="Calibri" w:hAnsi="Calibri"/>
          <w:b w:val="0"/>
          <w:color w:val="2B2B2B"/>
          <w:sz w:val="22"/>
        </w:rPr>
        <w:t xml:space="preserve"> el motor pondera seis criterios con pesos fijos (pp. 143-144) y el sistema entrega un «Proveedor Sugerido» (p. 142); el TO-BE mantiene la adjudicación humana (p. 226). El documento </w:t>
      </w:r>
      <w:r>
        <w:rPr>
          <w:rFonts w:ascii="Calibri" w:hAnsi="Calibri"/>
          <w:b/>
          <w:color w:val="2B2B2B"/>
          <w:sz w:val="22"/>
        </w:rPr>
        <w:t>no reporta la concordancia entre la sugerencia automática y la adjudicación real</w:t>
      </w:r>
      <w:r>
        <w:rPr>
          <w:rFonts w:ascii="Calibri" w:hAnsi="Calibri"/>
          <w:b w:val="0"/>
          <w:color w:val="2B2B2B"/>
          <w:sz w:val="22"/>
        </w:rPr>
        <w:t xml:space="preserve"> (buscado en 8.1 y 8.2, pp. 223-241). Es el dato que convertiría el ranking en evidencia de utilidad y no solo de velocidad.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Qué la resuelve:</w:t>
      </w:r>
      <w:r>
        <w:rPr>
          <w:rFonts w:ascii="Calibri" w:hAnsi="Calibri"/>
          <w:b w:val="0"/>
          <w:color w:val="2B2B2B"/>
          <w:sz w:val="22"/>
        </w:rPr>
        <w:t xml:space="preserve"> una cifra concreta, aunque sea «en 9 de 10», y un caso en que la Dirección se apartó del ranking con el motivo (una marca no homologada, un proveedor crítico). Eso demuestra dominio del negocio y que el sistema se usa de verdad.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Qué la agrava:</w:t>
      </w:r>
      <w:r>
        <w:rPr>
          <w:rFonts w:ascii="Calibri" w:hAnsi="Calibri"/>
          <w:b w:val="0"/>
          <w:color w:val="2B2B2B"/>
          <w:sz w:val="22"/>
        </w:rPr>
        <w:t xml:space="preserve"> «el sistema siempre acierta» sin dato, o no distinguir entre el proveedor más económico y el mejor calificado. Ojo también con el piso de la fórmula: el peor proveedor recibe 3 sobre 5 (p. 143); si no pueden justificar ese piso, el ranking pierde poder discriminante.</w:t>
      </w:r>
    </w:p>
    <w:p>
      <w:r>
        <w:rPr>
          <w:rFonts w:ascii="Calibri" w:hAnsi="Calibri"/>
          <w:b/>
          <w:color w:val="2B2B2B"/>
          <w:sz w:val="22"/>
        </w:rPr>
        <w:t>3. Las 32 horas de la Tabla 55.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página 100 dice que consolidación y evaluación, juntas, tomaban unas 32 horas. La Tabla 55 de la página 233 abre dos indicadores y le asigna 32 horas a cada uno, los dos con una reducción del 98,4 %. ¿Son dos bloques distintos de tiempo o es el mismo bloque contado dos veces?»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Por qué:</w:t>
      </w:r>
      <w:r>
        <w:rPr>
          <w:rFonts w:ascii="Calibri" w:hAnsi="Calibri"/>
          <w:b w:val="0"/>
          <w:color w:val="2B2B2B"/>
          <w:sz w:val="22"/>
        </w:rPr>
        <w:t xml:space="preserve"> p. 100 frente a p. 233. Es el número que más se repite en la discusión y en la presentación, y si está duplicado, el ahorro de horas-hombre queda sobreestimado. Preguntarlo es rápido y la respuesta se verifica en dos páginas.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Qué la resuelve:</w:t>
      </w:r>
      <w:r>
        <w:rPr>
          <w:rFonts w:ascii="Calibri" w:hAnsi="Calibri"/>
          <w:b w:val="0"/>
          <w:color w:val="2B2B2B"/>
          <w:sz w:val="22"/>
        </w:rPr>
        <w:t xml:space="preserve"> que separen con claridad «consolidar las ofertas en la matriz» de «calcular las ponderaciones y el ranking» con los tiempos de la página 98 en la mano (6-8 h, 3 h y 2 h), o que reconozcan la duplicación y digan cuál es el KPI correcto. Reconocerlo no baja la nota: sostener un número que su propio documento contradice, sí.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Qué la agrava:</w:t>
      </w:r>
      <w:r>
        <w:rPr>
          <w:rFonts w:ascii="Calibri" w:hAnsi="Calibri"/>
          <w:b w:val="0"/>
          <w:color w:val="2B2B2B"/>
          <w:sz w:val="22"/>
        </w:rPr>
        <w:t xml:space="preserve"> repetir «32 horas» sin explicar el desglose, o defender que ambos indicadores son independientes cuando la p. 100 los enuncia como uno solo.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Banco de reserva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adjetivo del título.</w:t>
      </w:r>
      <w:r>
        <w:rPr>
          <w:rFonts w:ascii="Calibri" w:hAnsi="Calibri"/>
          <w:b w:val="0"/>
          <w:color w:val="2B2B2B"/>
          <w:sz w:val="22"/>
        </w:rPr>
        <w:t xml:space="preserve"> «El título dice "sistema web </w:t>
      </w:r>
      <w:r>
        <w:rPr>
          <w:rFonts w:ascii="Calibri" w:hAnsi="Calibri"/>
          <w:b/>
          <w:color w:val="2B2B2B"/>
          <w:sz w:val="22"/>
        </w:rPr>
        <w:t>inteligente</w:t>
      </w:r>
      <w:r>
        <w:rPr>
          <w:rFonts w:ascii="Calibri" w:hAnsi="Calibri"/>
          <w:b w:val="0"/>
          <w:color w:val="2B2B2B"/>
          <w:sz w:val="22"/>
        </w:rPr>
        <w:t>" y las recomendaciones proponen incorporar IA con K-Means a futuro (p. 242). ¿Qué es lo inteligente del sistema hoy?» — Da pie a una buena respuesta: reglas de negocio, parametrización y automatización de la decisión. Es también la pregunta que probablemente hará otro evaluador.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MVC.</w:t>
      </w:r>
      <w:r>
        <w:rPr>
          <w:rFonts w:ascii="Calibri" w:hAnsi="Calibri"/>
          <w:b w:val="0"/>
          <w:color w:val="2B2B2B"/>
          <w:sz w:val="22"/>
        </w:rPr>
        <w:t xml:space="preserve"> «El objetivo específico 2 dice MVC, y la Fase V describe una arquitectura cliente-servidor multicapa con frontend SPA en Blazor (pp. 57, 181). ¿Dónde está el controlador en esa arquitectura?» — Buena para verificar dominio técnico real de quien programó.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Seguridad.</w:t>
      </w:r>
      <w:r>
        <w:rPr>
          <w:rFonts w:ascii="Calibri" w:hAnsi="Calibri"/>
          <w:b w:val="0"/>
          <w:color w:val="2B2B2B"/>
          <w:sz w:val="22"/>
        </w:rPr>
        <w:t xml:space="preserve"> «El plan de validación incluye pruebas de seguridad básica (p. 68) y la justificación invoca ISO 27001, RBAC y protección de credenciales (p. 27). ¿Qué pruebas de seguridad se ejecutaron y con qué resultado?» — El sistema guarda estados financieros de proveedores (p. 144).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Acta de aceptación.</w:t>
      </w:r>
      <w:r>
        <w:rPr>
          <w:rFonts w:ascii="Calibri" w:hAnsi="Calibri"/>
          <w:b w:val="0"/>
          <w:color w:val="2B2B2B"/>
          <w:sz w:val="22"/>
        </w:rPr>
        <w:t xml:space="preserve"> «El producto 9 de su matriz metodológica es un acta firmada de aceptación funcional y figura como "(pendiente)" (p. 73). ¿Existe hoy y quién la firmó?»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Naturaleza de las 10 licitaciones.</w:t>
      </w:r>
      <w:r>
        <w:rPr>
          <w:rFonts w:ascii="Calibri" w:hAnsi="Calibri"/>
          <w:b w:val="0"/>
          <w:color w:val="2B2B2B"/>
          <w:sz w:val="22"/>
        </w:rPr>
        <w:t xml:space="preserve"> «La página 181 dice licitaciones reales desde el 1 de junio; la 240 habla de "las 10 licitaciones de prueba". ¿Fueron procesos reales de compra con adjudicación en firme?»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Los proveedores como usuarios externos.</w:t>
      </w:r>
      <w:r>
        <w:rPr>
          <w:rFonts w:ascii="Calibri" w:hAnsi="Calibri"/>
          <w:b w:val="0"/>
          <w:color w:val="2B2B2B"/>
          <w:sz w:val="22"/>
        </w:rPr>
        <w:t xml:space="preserve"> «El módulo de ofertas es una interfaz externa para proveedores (p. 227) y el UAT lo hicieron los 6 funcionarios internos (p. 229). ¿Cuántos proveedores han cargado oferta en la plataforma y qué reportaron?» — Es el actor que quedó fuera de la validación.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Sostenibilidad del refuerzo.</w:t>
      </w:r>
      <w:r>
        <w:rPr>
          <w:rFonts w:ascii="Calibri" w:hAnsi="Calibri"/>
          <w:b w:val="0"/>
          <w:color w:val="2B2B2B"/>
          <w:sz w:val="22"/>
        </w:rPr>
        <w:t xml:space="preserve"> «Refuerzo es su dimensión ADKAR más baja, 76,6 % (p. 241). ¿Quién queda como administrador del sistema y del plan de incentivos que recomiendan (p. 243) cuando ustedes se gradúen?»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PREGUNTAS DESPUÉS — condicionales, para marcar en caliente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mostraron el sistema en vivo y explicaron el ranking sobre una licitación real →</w:t>
      </w:r>
      <w:r>
        <w:rPr>
          <w:rFonts w:ascii="Calibri" w:hAnsi="Calibri"/>
          <w:b w:val="0"/>
          <w:color w:val="2B2B2B"/>
          <w:sz w:val="22"/>
        </w:rPr>
        <w:t xml:space="preserve"> no gastar la pregunta 2 en pedir la cifra: pedir que abran esa licitación y digan a quién sugirió el sistema y a quién adjudicó la Dirección. Es la misma pregunta, mejor contestada.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solo mostraron capturas o un video →</w:t>
      </w:r>
      <w:r>
        <w:rPr>
          <w:rFonts w:ascii="Calibri" w:hAnsi="Calibri"/>
          <w:b w:val="0"/>
          <w:color w:val="2B2B2B"/>
          <w:sz w:val="22"/>
        </w:rPr>
        <w:t xml:space="preserve"> pregunta 2 completa y, si hay margen, pedir la vista de análisis de la p. 142 con el «Proveedor Sugerido» en pantalla.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presentaron la reducción del ciclo como «proyectada» (diap. 5: 10-15 → 4-6 días) y no llevaron la Tabla 55 a la sala →</w:t>
      </w:r>
      <w:r>
        <w:rPr>
          <w:rFonts w:ascii="Calibri" w:hAnsi="Calibri"/>
          <w:b w:val="0"/>
          <w:color w:val="2B2B2B"/>
          <w:sz w:val="22"/>
        </w:rPr>
        <w:t xml:space="preserve"> preguntar directamente: «¿Cuál es el dato medido a hoy?». El documento reporta 12,5 → 4,8 días sobre 10 licitaciones (p. 233) y sería raro que no lo digan; si no lo dicen, hay que dárselo a decir.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no mostraron ningún KPI en las diapositivas de resultados (11 y 12, que solo llevan BPMN y arquitectura) →</w:t>
      </w:r>
      <w:r>
        <w:rPr>
          <w:rFonts w:ascii="Calibri" w:hAnsi="Calibri"/>
          <w:b w:val="0"/>
          <w:color w:val="2B2B2B"/>
          <w:sz w:val="22"/>
        </w:rPr>
        <w:t xml:space="preserve"> decidir en el momento entre la pregunta 1 y la 3, no las dos: son ambas sobre números y quedaría un interrogatorio contable.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afirmaron «100 % de éxito en UAT» sin matizar →</w:t>
      </w:r>
      <w:r>
        <w:rPr>
          <w:rFonts w:ascii="Calibri" w:hAnsi="Calibri"/>
          <w:b w:val="0"/>
          <w:color w:val="2B2B2B"/>
          <w:sz w:val="22"/>
        </w:rPr>
        <w:t xml:space="preserve"> preguntar por los fallos iniciales de interfaz y cómo se reprobó lo corregido. Tienen la respuesta escrita en la p. 240; ver si la conocen.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dijeron que la madurez digital subió 53 % →</w:t>
      </w:r>
      <w:r>
        <w:rPr>
          <w:rFonts w:ascii="Calibri" w:hAnsi="Calibri"/>
          <w:b w:val="0"/>
          <w:color w:val="2B2B2B"/>
          <w:sz w:val="22"/>
        </w:rPr>
        <w:t xml:space="preserve"> pedir que aclaren si son 53 puntos porcentuales o el +151,4 % de la Tabla 55 (p. 233). Es un tirón de una frase y separa a quien entiende su indicador de quien lo recita.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dijeron que el sistema «elimina la subjetividad» de la adjudicación →</w:t>
      </w:r>
      <w:r>
        <w:rPr>
          <w:rFonts w:ascii="Calibri" w:hAnsi="Calibri"/>
          <w:b w:val="0"/>
          <w:color w:val="2B2B2B"/>
          <w:sz w:val="22"/>
        </w:rPr>
        <w:t xml:space="preserve"> recordarles su propia p. 226 (la decisión final es de la Dirección) y preguntar entonces qué eliminó exactamente: la subjetividad del cálculo o la de la decisión.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mencionaron integración con ERP como algo ya hecho →</w:t>
      </w:r>
      <w:r>
        <w:rPr>
          <w:rFonts w:ascii="Calibri" w:hAnsi="Calibri"/>
          <w:b w:val="0"/>
          <w:color w:val="2B2B2B"/>
          <w:sz w:val="22"/>
        </w:rPr>
        <w:t xml:space="preserve"> contrastar con las limitaciones (pp. 28, 30), donde está excluida del alcance.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se pasaron del tiempo y saltaron resultados →</w:t>
      </w:r>
      <w:r>
        <w:rPr>
          <w:rFonts w:ascii="Calibri" w:hAnsi="Calibri"/>
          <w:b w:val="0"/>
          <w:color w:val="2B2B2B"/>
          <w:sz w:val="22"/>
        </w:rPr>
        <w:t xml:space="preserve"> ir directo al objetivo 4: «en 30 segundos, ¿qué midieron antes y después, con qué instrumento?».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solo habló un integrante →</w:t>
      </w:r>
      <w:r>
        <w:rPr>
          <w:rFonts w:ascii="Calibri" w:hAnsi="Calibri"/>
          <w:b w:val="0"/>
          <w:color w:val="2B2B2B"/>
          <w:sz w:val="22"/>
        </w:rPr>
        <w:t xml:space="preserve"> pedir explícitamente a otro que explique el motor multicriterio de las pp. 143-144 o las reglas de negocio RN-01 a RN-12 del TO-BE (pp. 174-176). Es la vía legítima para verificar dominio individual; en un trabajo con esta carga técnica, es imprescindible saber si el equipo entero lo entiende o si hay un solo autor del sistema.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el que expone lo técnico no puede explicar el ADKAR, o viceversa →</w:t>
      </w:r>
      <w:r>
        <w:rPr>
          <w:rFonts w:ascii="Calibri" w:hAnsi="Calibri"/>
          <w:b w:val="0"/>
          <w:color w:val="2B2B2B"/>
          <w:sz w:val="22"/>
        </w:rPr>
        <w:t xml:space="preserve"> no insistir: anotarlo como dominio parcial del equipo y usarlo al calibrar la nota, no para acorralar en público.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 leyeron las diapositivas palabra por palabra →</w:t>
      </w:r>
      <w:r>
        <w:rPr>
          <w:rFonts w:ascii="Calibri" w:hAnsi="Calibri"/>
          <w:b w:val="0"/>
          <w:color w:val="2B2B2B"/>
          <w:sz w:val="22"/>
        </w:rPr>
        <w:t xml:space="preserve"> no se pregunta, se anota: afecta claridad y dominio.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Umbrales de nota (escala 0,1–5,0, cuatro criterios del jurado)</w:t>
      </w:r>
    </w:p>
    <w:p>
      <w:r>
        <w:rPr>
          <w:rFonts w:ascii="Calibri" w:hAnsi="Calibri"/>
          <w:b w:val="0"/>
          <w:color w:val="2B2B2B"/>
          <w:sz w:val="22"/>
        </w:rPr>
        <w:t xml:space="preserve">Criterios: </w:t>
      </w:r>
      <w:r>
        <w:rPr>
          <w:rFonts w:ascii="Calibri" w:hAnsi="Calibri"/>
          <w:b/>
          <w:color w:val="2B2B2B"/>
          <w:sz w:val="22"/>
        </w:rPr>
        <w:t>dominio del tema · claridad · coherencia del documento · capacidad de defensa.</w:t>
      </w:r>
      <w:r>
        <w:rPr>
          <w:rFonts w:ascii="Calibri" w:hAnsi="Calibri"/>
          <w:b w:val="0"/>
          <w:color w:val="2B2B2B"/>
          <w:sz w:val="22"/>
        </w:rPr>
        <w:t xml:space="preserve"> Nivel exigido: especialización profesionalizante. No se le pide aporte teórico original ni validación externa de instrumentos; se le pide coherencia, producto y honestidad sobre los límites.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4,6 – 5,0 (excelente / candidato a meritoria).</w:t>
      </w:r>
      <w:r>
        <w:rPr>
          <w:rFonts w:ascii="Calibri" w:hAnsi="Calibri"/>
          <w:b w:val="0"/>
          <w:color w:val="2B2B2B"/>
          <w:sz w:val="22"/>
        </w:rPr>
        <w:t xml:space="preserve"> Necesito </w:t>
      </w:r>
      <w:r>
        <w:rPr>
          <w:rFonts w:ascii="Calibri" w:hAnsi="Calibri"/>
          <w:b/>
          <w:color w:val="2B2B2B"/>
          <w:sz w:val="22"/>
        </w:rPr>
        <w:t>las dos cosas</w:t>
      </w:r>
      <w:r>
        <w:rPr>
          <w:rFonts w:ascii="Calibri" w:hAnsi="Calibri"/>
          <w:b w:val="0"/>
          <w:color w:val="2B2B2B"/>
          <w:sz w:val="22"/>
        </w:rPr>
        <w:t xml:space="preserve">: (a) que el sistema se vea o se explique operando sobre una licitación real, con la cifra de concordancia entre el proveedor sugerido y el adjudicado; y (b) que asuman con precisión conceptual que lo que midieron es adopción ADKAR y no las cinco dimensiones de madurez de la p. 76, con un origen claro del 35 %. Súmese que los tres respondan, cada uno sobre lo suyo, y que las 32 horas queden explicadas. </w:t>
      </w:r>
      <w:r>
        <w:rPr>
          <w:rFonts w:ascii="Calibri" w:hAnsi="Calibri"/>
          <w:b/>
          <w:color w:val="2B2B2B"/>
          <w:sz w:val="22"/>
        </w:rPr>
        <w:t>Recordatorio: 5,0 no es «me gustó»: es proponer laureada y exige acuerdo de ambos jurados.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4,0 – 4,5 (buen desempeño).</w:t>
      </w:r>
      <w:r>
        <w:rPr>
          <w:rFonts w:ascii="Calibri" w:hAnsi="Calibri"/>
          <w:b w:val="0"/>
          <w:color w:val="2B2B2B"/>
          <w:sz w:val="22"/>
        </w:rPr>
        <w:t xml:space="preserve"> Es el rango de llegada esperable con lo que trae el documento, y es un documento fuerte: producto en producción, AS-IS cuantificado e ingeniería documentada. Caen aquí si defienden bien el sistema pero no pueden precisar el origen del 35 %, o si el número de las 32 horas queda sin desglosar, o si solo uno de los tres domina la parte técnica. Sin la cifra de concordancia ranking-adjudicación y sin origen del 35 %, difícilmente pasa de </w:t>
      </w:r>
      <w:r>
        <w:rPr>
          <w:rFonts w:ascii="Calibri" w:hAnsi="Calibri"/>
          <w:b/>
          <w:color w:val="2B2B2B"/>
          <w:sz w:val="22"/>
        </w:rPr>
        <w:t>4,4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3,6 – 3,9.</w:t>
      </w:r>
      <w:r>
        <w:rPr>
          <w:rFonts w:ascii="Calibri" w:hAnsi="Calibri"/>
          <w:b w:val="0"/>
          <w:color w:val="2B2B2B"/>
          <w:sz w:val="22"/>
        </w:rPr>
        <w:t xml:space="preserve"> Si aparece que la medición «antes y después» de madurez digital no existió como tal y además la defienden como si existiera, o si no pueden explicar cómo funciona su propio motor de ponderación.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3,0 – 3,5 (aceptable).</w:t>
      </w:r>
      <w:r>
        <w:rPr>
          <w:rFonts w:ascii="Calibri" w:hAnsi="Calibri"/>
          <w:b w:val="0"/>
          <w:color w:val="2B2B2B"/>
          <w:sz w:val="22"/>
        </w:rPr>
        <w:t xml:space="preserve"> Si no logran mostrar ni explicar el sistema en funcionamiento, o si atribuyen al trabajo resultados que el documento no soporta (por ejemplo, sostener que hubo pruebas de seguridad o acta firmada de aceptación cuando el documento dice lo contrario).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Por debajo de 3,0.</w:t>
      </w:r>
      <w:r>
        <w:rPr>
          <w:rFonts w:ascii="Calibri" w:hAnsi="Calibri"/>
          <w:b w:val="0"/>
          <w:color w:val="2B2B2B"/>
          <w:sz w:val="22"/>
        </w:rPr>
        <w:t xml:space="preserve"> No lo veo posible: hay sistema en producción, 10 licitaciones gestionadas, modelo de datos y medio centenar de capturas de prueba. Solo lo justificaría una defensa en la que ningún integrante pueda explicar lo que entregó.</w:t>
      </w:r>
    </w:p>
    <w:p>
      <w:r>
        <w:rPr>
          <w:rFonts w:ascii="Calibri" w:hAnsi="Calibri"/>
          <w:b/>
          <w:color w:val="2B2B2B"/>
          <w:sz w:val="22"/>
        </w:rPr>
        <w:t>Mi posición de partida antes de la sala: 4,2 – 4,6</w:t>
      </w:r>
      <w:r>
        <w:rPr>
          <w:rFonts w:ascii="Calibri" w:hAnsi="Calibri"/>
          <w:b w:val="0"/>
          <w:color w:val="2B2B2B"/>
          <w:sz w:val="22"/>
        </w:rPr>
        <w:t xml:space="preserve">, y lo que mueve la aguja es una sola cosa: </w:t>
      </w:r>
      <w:r>
        <w:rPr>
          <w:rFonts w:ascii="Calibri" w:hAnsi="Calibri"/>
          <w:b/>
          <w:color w:val="2B2B2B"/>
          <w:sz w:val="22"/>
        </w:rPr>
        <w:t>cómo respondan por sus propios números</w:t>
      </w:r>
      <w:r>
        <w:rPr>
          <w:rFonts w:ascii="Calibri" w:hAnsi="Calibri"/>
          <w:b w:val="0"/>
          <w:color w:val="2B2B2B"/>
          <w:sz w:val="22"/>
        </w:rPr>
        <w:t xml:space="preserve"> (el 35 % de línea base y las 32 horas). El producto no está en duda; la medición del impacto sí.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Observaciones administrativas (no académicas)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Fechas incoherentes en la portada y las firmas.</w:t>
      </w:r>
      <w:r>
        <w:rPr>
          <w:rFonts w:ascii="Calibri" w:hAnsi="Calibri"/>
          <w:b w:val="0"/>
          <w:color w:val="2B2B2B"/>
          <w:sz w:val="22"/>
        </w:rPr>
        <w:t xml:space="preserve"> Portada, declaración de originalidad y declaración de exoneración están fechadas en </w:t>
      </w:r>
      <w:r>
        <w:rPr>
          <w:rFonts w:ascii="Calibri" w:hAnsi="Calibri"/>
          <w:b/>
          <w:color w:val="2B2B2B"/>
          <w:sz w:val="22"/>
        </w:rPr>
        <w:t>marzo de 2026</w:t>
      </w:r>
      <w:r>
        <w:rPr>
          <w:rFonts w:ascii="Calibri" w:hAnsi="Calibri"/>
          <w:b w:val="0"/>
          <w:color w:val="2B2B2B"/>
          <w:sz w:val="22"/>
        </w:rPr>
        <w:t xml:space="preserve"> (pp. 1, 18, 19), mientras el sistema entró en operación el </w:t>
      </w:r>
      <w:r>
        <w:rPr>
          <w:rFonts w:ascii="Calibri" w:hAnsi="Calibri"/>
          <w:b/>
          <w:color w:val="2B2B2B"/>
          <w:sz w:val="22"/>
        </w:rPr>
        <w:t>1 de junio de 2026</w:t>
      </w:r>
      <w:r>
        <w:rPr>
          <w:rFonts w:ascii="Calibri" w:hAnsi="Calibri"/>
          <w:b w:val="0"/>
          <w:color w:val="2B2B2B"/>
          <w:sz w:val="22"/>
        </w:rPr>
        <w:t xml:space="preserve"> (p. 181) y los resultados cubren las 10 licitaciones posteriores. Las firmas de originalidad son anteriores al contenido que respaldan: conviene que se actualice la fecha antes del acta.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Equipo de 3 integrantes:</w:t>
      </w:r>
      <w:r>
        <w:rPr>
          <w:rFonts w:ascii="Calibri" w:hAnsi="Calibri"/>
          <w:b w:val="0"/>
          <w:color w:val="2B2B2B"/>
          <w:sz w:val="22"/>
        </w:rPr>
        <w:t xml:space="preserve"> cumple el máximo de la norma. Los tres nombres completos están en la portada y en las dos declaraciones firmadas (pp. 1, 18-19).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Línea de profundización:</w:t>
      </w:r>
      <w:r>
        <w:rPr>
          <w:rFonts w:ascii="Calibri" w:hAnsi="Calibri"/>
          <w:b w:val="0"/>
          <w:color w:val="2B2B2B"/>
          <w:sz w:val="22"/>
        </w:rPr>
        <w:t xml:space="preserve"> la portada dice «Gestión y Tecnologías» (p. 1) y el cronograma «Gestión y Tecnología». Unificar el nombre oficial.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Marca «CONFIDENCIAL» en el pie de todas las páginas</w:t>
      </w:r>
      <w:r>
        <w:rPr>
          <w:rFonts w:ascii="Calibri" w:hAnsi="Calibri"/>
          <w:b w:val="0"/>
          <w:color w:val="2B2B2B"/>
          <w:sz w:val="22"/>
        </w:rPr>
        <w:t xml:space="preserve"> del cuerpo (pp. 16-77 y siguientes) y datos de proveedores, estados financieros e ingresos en las capturas (pp. 144, 202-206). Si el acta o la ficha se archivan, conviene verificar con la empresa el permiso de divulgación; el documento no incluye carta de autorización de la organización (buscada en preliminares, pp. 18-19, y en anexos, pp. 248-249).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Anexos anunciados y de contenido no legible como texto.</w:t>
      </w:r>
      <w:r>
        <w:rPr>
          <w:rFonts w:ascii="Calibri" w:hAnsi="Calibri"/>
          <w:b w:val="0"/>
          <w:color w:val="2B2B2B"/>
          <w:sz w:val="22"/>
        </w:rPr>
        <w:t xml:space="preserve"> El anexo 1 (respuestas de entrevistas) y el anexo 2 (registros de observación) ocupan solo dos páginas finales con sus títulos (pp. 248-249); el acta de aceptación funcional, el manual técnico, el manual de usuario y el informe de validación —entregables declarados en las pp. 29-30— no aparecen en el documento ni en la carpeta del grupo. Si existen, deberían adjuntarse.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Sin reporte de similitud, cronograma ni presupuesto</w:t>
      </w:r>
      <w:r>
        <w:rPr>
          <w:rFonts w:ascii="Calibri" w:hAnsi="Calibri"/>
          <w:b w:val="0"/>
          <w:color w:val="2B2B2B"/>
          <w:sz w:val="22"/>
        </w:rPr>
        <w:t xml:space="preserve"> en el documento (búsqueda de texto sobre las 249 páginas). Corresponde al metodólogo, que lleva el 75 % de la nota; se registra para la Dirección, no para descontar en la sustentación.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 docente asesora del trabajo es también la moderadora de la sesión</w:t>
      </w:r>
      <w:r>
        <w:rPr>
          <w:rFonts w:ascii="Calibri" w:hAnsi="Calibri"/>
          <w:b w:val="0"/>
          <w:color w:val="2B2B2B"/>
          <w:sz w:val="22"/>
        </w:rPr>
        <w:t xml:space="preserve"> (María Fernanda Rivera Sanclemente, p. 1). Es lo previsto en el cronograma para todos los grupos de esta hoja; se anota solo por transparencia del acta.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La presentación repite la tabla de antecedentes tres veces</w:t>
      </w:r>
      <w:r>
        <w:rPr>
          <w:rFonts w:ascii="Calibri" w:hAnsi="Calibri"/>
          <w:b w:val="0"/>
          <w:color w:val="2B2B2B"/>
          <w:sz w:val="22"/>
        </w:rPr>
        <w:t xml:space="preserve"> (diap. 7, 8 y 9, con contenido idéntico en 7 y 8) y declara «entrevistas estructuradas» (diap. 10) donde el documento dice «semiestructuradas» (p. 80). Con 16 diapositivas y 20 minutos compartidos entre tres evaluadores, tres diapositivas de antecedentes son tres diapositivas que le quitan tiempo a los resultados; vale la pena decírselo en la retroalimentación, no en la evaluación.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