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 xml:space="preserve"> de grado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28 de septiembre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21/09/2026 – cierre 28/09/2026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(28/09/2026)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(14/09/2026) — Marco teórico —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(21/09/2026) — Marco conceptual y contextual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(14/09/2026): Sesión 05, Sesión 06.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 — Diseño metodológico (propuesto))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tema): ten resuelto de qué proyecto vienes y qué vas a sostener en TG2.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Pregunta, objetivos y título provisional: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 xml:space="preserve"> de tu propio proyecto y prepárate para explicar por qué son coherentes entre sí. Recuerda que el 17/08 fue clase autónoma por festivo.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de avance: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de avance en plantilla APA CUN: qué va en cada apartado y en qué orden —es el mismo esqueleto para cualquier modalidad de grado.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—cita en texto, referencia final— y qué constituye plagio.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Antecedentes y referentes (Fase I):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antecedente / referente</w:t>
      </w:r>
      <w:r>
        <w:rPr>
          <w:rFonts w:ascii="Calibri" w:hAnsi="Calibri"/>
          <w:b w:val="0"/>
          <w:color w:val="2B2B2B"/>
          <w:sz w:val="22"/>
        </w:rPr>
        <w:t xml:space="preserve"> (Fase I), cómo se busca en las bases CUN y cómo se conecta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Marco teórico — avance: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y cómo se articula con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de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Marco conceptual y contextual:</w:t>
      </w:r>
      <w:r>
        <w:rPr>
          <w:rFonts w:ascii="Calibri" w:hAnsi="Calibri"/>
          <w:b w:val="0"/>
          <w:color w:val="2B2B2B"/>
          <w:sz w:val="22"/>
        </w:rPr>
        <w:t xml:space="preserve"> Diferencia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de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ocurre lo que estudias).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(Diseño metodológico (propuesto)),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(Marco conceptual y contextual).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