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42%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08 de noviembre de 2026</w:t>
      </w:r>
      <w:r>
        <w:rPr>
          <w:rFonts w:ascii="Calibri" w:hAnsi="Calibri"/>
          <w:b w:val="0"/>
          <w:color w:val="2B2B2B"/>
          <w:sz w:val="22"/>
        </w:rPr>
        <w:t xml:space="preserve"> (dom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12/10/2026 – cierre 08/11/2026 · </w:t>
      </w:r>
      <w:r>
        <w:rPr>
          <w:rFonts w:ascii="Calibri" w:hAnsi="Calibri"/>
          <w:b/>
          <w:color w:val="2B2B2B"/>
          <w:sz w:val="22"/>
        </w:rPr>
        <w:t>42%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Anteproyecto integrado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42%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50%, repartido entre 3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entrega de cierre</w:t>
      </w:r>
      <w:r>
        <w:rPr>
          <w:rFonts w:ascii="Calibri" w:hAnsi="Calibri"/>
          <w:b w:val="0"/>
          <w:color w:val="2B2B2B"/>
          <w:sz w:val="22"/>
        </w:rPr>
        <w:t xml:space="preserve"> del curso: el anteproyecto completo, no un fragmento. Junto con la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(4%) y la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(4%) cierra el corte 3.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Integrar el </w:t>
      </w:r>
      <w:r>
        <w:rPr>
          <w:rFonts w:ascii="Calibri" w:hAnsi="Calibri"/>
          <w:b/>
          <w:color w:val="2B2B2B"/>
          <w:sz w:val="22"/>
        </w:rPr>
        <w:t>anteproyecto completo</w:t>
      </w:r>
      <w:r>
        <w:rPr>
          <w:rFonts w:ascii="Calibri" w:hAnsi="Calibri"/>
          <w:b w:val="0"/>
          <w:color w:val="2B2B2B"/>
          <w:sz w:val="22"/>
        </w:rPr>
        <w:t xml:space="preserve"> (ESP329 U5–U7): metodología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(no aplicada), planeación/viabilidad e integración coherente del documento. Producto de cierre de Proyecto I y base para Proyecto II.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las correcciones de la </w:t>
      </w:r>
      <w:r>
        <w:rPr>
          <w:rFonts w:ascii="Calibri" w:hAnsi="Calibri"/>
          <w:b/>
          <w:color w:val="2B2B2B"/>
          <w:sz w:val="22"/>
        </w:rPr>
        <w:t>ACA 1</w:t>
      </w:r>
      <w:r>
        <w:rPr>
          <w:rFonts w:ascii="Calibri" w:hAnsi="Calibri"/>
          <w:b w:val="0"/>
          <w:color w:val="2B2B2B"/>
          <w:sz w:val="22"/>
        </w:rPr>
        <w:t xml:space="preserve"> (trazabilidad visible en el documento).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: paradigma/enfoque, tipo y alcance, diseño, población/muestra o unidades de análisis, variables/categorías, técnicas e </w:t>
      </w:r>
      <w:r>
        <w:rPr>
          <w:rFonts w:ascii="Calibri" w:hAnsi="Calibri"/>
          <w:b/>
          <w:color w:val="2B2B2B"/>
          <w:sz w:val="22"/>
        </w:rPr>
        <w:t>instrumentos propuestos</w:t>
      </w:r>
      <w:r>
        <w:rPr>
          <w:rFonts w:ascii="Calibri" w:hAnsi="Calibri"/>
          <w:b w:val="0"/>
          <w:color w:val="2B2B2B"/>
          <w:sz w:val="22"/>
        </w:rPr>
        <w:t xml:space="preserve"> (no aplicados), plan de análisis, ética.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cronograma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presupuesto</w:t>
      </w:r>
      <w:r>
        <w:rPr>
          <w:rFonts w:ascii="Calibri" w:hAnsi="Calibri"/>
          <w:b w:val="0"/>
          <w:color w:val="2B2B2B"/>
          <w:sz w:val="22"/>
        </w:rPr>
        <w:t xml:space="preserve"> (o recursos) viables para la continuidad del proyecto.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 todo el anteproyecto en un solo documento coherente (de portada a referencias).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integridad académica (similitud, citas, uso transparente de IA si la usaste).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el envío final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Anteproyecto FINAL integrado</w:t>
      </w:r>
      <w:r>
        <w:rPr>
          <w:rFonts w:ascii="Calibri" w:hAnsi="Calibri"/>
          <w:b w:val="0"/>
          <w:color w:val="2B2B2B"/>
          <w:sz w:val="22"/>
        </w:rPr>
        <w:t xml:space="preserve"> (no un fragmento suelto)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Extensión orientativa: documento completo típico de anteproyecto de especialización (U2–U7).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Instrumentos solo </w:t>
      </w:r>
      <w:r>
        <w:rPr>
          <w:rFonts w:ascii="Calibri" w:hAnsi="Calibri"/>
          <w:b/>
          <w:color w:val="2B2B2B"/>
          <w:sz w:val="22"/>
        </w:rPr>
        <w:t>propuestos</w:t>
      </w:r>
      <w:r>
        <w:rPr>
          <w:rFonts w:ascii="Calibri" w:hAnsi="Calibri"/>
          <w:b w:val="0"/>
          <w:color w:val="2B2B2B"/>
          <w:sz w:val="22"/>
        </w:rPr>
        <w:t xml:space="preserve"> (anexos opcionales);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recolección de datos en Proyecto I.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Un solo envío grupal; portada con todos los integrantes.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Correcciones de la ACA 1 incorporadas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Metodología coherente con pregunta y objetivos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Instrumentos propuestos (no aplicados)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Cronograma y presupuesto/viabilidad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Coherencia global del anteproyecto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Escritura, fuentes, integridad y viabilidad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Tutorías: registra asistencia en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42%).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Puente metodológico en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; desarrollo en </w:t>
      </w:r>
      <w:r>
        <w:rPr>
          <w:rFonts w:ascii="Calibri" w:hAnsi="Calibri"/>
          <w:b/>
          <w:color w:val="2B2B2B"/>
          <w:sz w:val="22"/>
        </w:rPr>
        <w:t>Sesiones 09–10</w:t>
      </w:r>
      <w:r>
        <w:rPr>
          <w:rFonts w:ascii="Calibri" w:hAnsi="Calibri"/>
          <w:b w:val="0"/>
          <w:color w:val="2B2B2B"/>
          <w:sz w:val="22"/>
        </w:rPr>
        <w:t xml:space="preserve"> (la 10 es la última sincrónica antes del cierre); integración y evaluación en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>. Usa las tutorías acordadas en la semana: en esta fase hay pocas sesiones sincrónicas.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