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(CDigital):</w:t>
      </w:r>
      <w:r>
        <w:rPr>
          <w:rFonts w:ascii="Calibri" w:hAnsi="Calibri"/>
          <w:b w:val="0"/>
          <w:color w:val="2B2B2B"/>
          <w:sz w:val="22"/>
        </w:rPr>
        <w:t xml:space="preserve"> 16/11/2026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en Proyecto I la nota es </w:t>
      </w:r>
      <w:r>
        <w:rPr>
          <w:rFonts w:ascii="Calibri" w:hAnsi="Calibri"/>
          <w:b/>
          <w:color w:val="2B2B2B"/>
          <w:sz w:val="22"/>
        </w:rPr>
        <w:t>única</w:t>
      </w:r>
      <w:r>
        <w:rPr>
          <w:rFonts w:ascii="Calibri" w:hAnsi="Calibri"/>
          <w:b w:val="0"/>
          <w:color w:val="2B2B2B"/>
          <w:sz w:val="22"/>
        </w:rPr>
        <w:t xml:space="preserve"> (Art. 41 Reglamento Estudiantil) y este instrumento vale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(ESP329 · «MECANISMOS Y ESTRATEGIAS DE EVALUACIÓN»). Es obligatorio al cierre de Proyecto I (cronograma AFI / Instructivo Proyecto I).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4%)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(https://cdigital.cun.edu.co/course/view.php?id=130378),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comenta en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(09/11/2026 · Integración y evaluación · coevaluación y autoevaluación). La ventana abre después de la ACA FINAL, en la fase final del periodo.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