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14/09/2026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Alcance declarado:</w:t>
      </w:r>
      <w:r>
        <w:rPr>
          <w:rFonts w:ascii="Calibri" w:hAnsi="Calibri"/>
          <w:b w:val="0"/>
          <w:i/>
          <w:color w:val="2B2B2B"/>
          <w:sz w:val="21"/>
        </w:rPr>
        <w:t xml:space="preserve"> este parcial pesa </w:t>
      </w:r>
      <w:r>
        <w:rPr>
          <w:rFonts w:ascii="Calibri" w:hAnsi="Calibri"/>
          <w:b/>
          <w:i/>
          <w:color w:val="2B2B2B"/>
          <w:sz w:val="21"/>
        </w:rPr>
        <w:t>24%</w:t>
      </w:r>
      <w:r>
        <w:rPr>
          <w:rFonts w:ascii="Calibri" w:hAnsi="Calibri"/>
          <w:b w:val="0"/>
          <w:i/>
          <w:color w:val="2B2B2B"/>
          <w:sz w:val="21"/>
        </w:rPr>
        <w:t xml:space="preserve"> y su ventana </w:t>
      </w:r>
      <w:r>
        <w:rPr>
          <w:rFonts w:ascii="Calibri" w:hAnsi="Calibri"/>
          <w:b/>
          <w:i/>
          <w:color w:val="2B2B2B"/>
          <w:sz w:val="21"/>
        </w:rPr>
        <w:t>abre antes</w:t>
      </w:r>
      <w:r>
        <w:rPr>
          <w:rFonts w:ascii="Calibri" w:hAnsi="Calibri"/>
          <w:b w:val="0"/>
          <w:i/>
          <w:color w:val="2B2B2B"/>
          <w:sz w:val="21"/>
        </w:rPr>
        <w:t xml:space="preserve"> de la clase del día del cierre. Para que no haya sorpresa: el temario entra hasta la </w:t>
      </w:r>
      <w:r>
        <w:rPr>
          <w:rFonts w:ascii="Calibri" w:hAnsi="Calibri"/>
          <w:b/>
          <w:i/>
          <w:color w:val="2B2B2B"/>
          <w:sz w:val="21"/>
        </w:rPr>
        <w:t>Sesión 04</w:t>
      </w:r>
      <w:r>
        <w:rPr>
          <w:rFonts w:ascii="Calibri" w:hAnsi="Calibri"/>
          <w:b w:val="0"/>
          <w:i/>
          <w:color w:val="2B2B2B"/>
          <w:sz w:val="21"/>
        </w:rPr>
        <w:t xml:space="preserve"> (07/09/2026 · Antecedentes y referentes (Fase I)), y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entra el tema de la </w:t>
      </w:r>
      <w:r>
        <w:rPr>
          <w:rFonts w:ascii="Calibri" w:hAnsi="Calibri"/>
          <w:b/>
          <w:i/>
          <w:color w:val="2B2B2B"/>
          <w:sz w:val="21"/>
        </w:rPr>
        <w:t>Sesión 05</w:t>
      </w:r>
      <w:r>
        <w:rPr>
          <w:rFonts w:ascii="Calibri" w:hAnsi="Calibri"/>
          <w:b w:val="0"/>
          <w:i/>
          <w:color w:val="2B2B2B"/>
          <w:sz w:val="21"/>
        </w:rPr>
        <w:t xml:space="preserve"> (14/09/2026 · Marco teórico — avance). Puedes resolverlo cualquier día de la ventana; no hace falta esperar al último.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(14/09/2026)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(31/08/2026): Sesión 03, Sesión 04.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 — Marco teórico — avance)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/ artículo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(Marco teórico — avance),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 a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(Antecedentes y referentes (Fase I)).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