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01 · 26ET2-G-001 — Sistema de Información Agropecuario Integral con módulo pecuario y chatbots (Finca El Paraíso, Anzoátegui, Tolima)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martes 18 de agosto de 2026 · 6:00 – 6:20 p. m. (abre la jornada)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Diomedes Igua Hernández: _____________________________________________________________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Adolfo Escobar Buelvas: _______________________________________________________________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Jorge Carlos Polo Muñoz: ______________________________________________________________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⚠️ Abre la noche: si el demo de la diapositiva 12 se cae por la plataforma y no por el proyecto, </w:t>
      </w:r>
      <w:r>
        <w:rPr>
          <w:rFonts w:ascii="Calibri" w:hAnsi="Calibri"/>
          <w:b/>
          <w:i/>
          <w:color w:val="2B2B2B"/>
          <w:sz w:val="21"/>
        </w:rPr>
        <w:t>no se lo cargo a ellos</w:t>
      </w:r>
      <w:r>
        <w:rPr>
          <w:rFonts w:ascii="Calibri" w:hAnsi="Calibri"/>
          <w:b w:val="0"/>
          <w:i/>
          <w:color w:val="2B2B2B"/>
          <w:sz w:val="21"/>
        </w:rPr>
        <w:t xml:space="preserve"> — paso a la pregunta 3 y evalúo el producto por la evidencia documental (pp. 192-194, 218).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 ✓ ~ ✗ y escribir en la línea</w:t>
      </w:r>
    </w:p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r>
        <w:rPr>
          <w:rFonts w:ascii="Calibri" w:hAnsi="Calibri"/>
          <w:b/>
          <w:color w:val="2B2B2B"/>
          <w:sz w:val="22"/>
        </w:rPr>
        <w:t>Problema y pregunta (2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Objetivos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Método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Resultados (3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Discusión y conclusión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Aporte y cierre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(§6 de la ficha) — marcar oyendo; cada marca elige la pregunta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Lo que va entre « » se lee tal cual. La página en negrita es la que sostiene la pregunta: si la respuesta la contradice, se anota abajo con esa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el demo de la diapositiva 12 no ocurre o falla → «¿el sistema está en línea ahora?» y la P3 pasa a prioritaria  </w:t>
      </w:r>
      <w:r>
        <w:rPr>
          <w:rFonts w:ascii="Calibri" w:hAnsi="Calibri"/>
          <w:b/>
          <w:color w:val="2B2B2B"/>
          <w:sz w:val="22"/>
        </w:rPr>
        <w:t>(pp. 192-194 · sustituye P3)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«¿El sistema está en línea en este momento? Si no, ¿desde cuándo no lo está?»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el demo sí corre → pedir una consulta improvisada al chatbot, con otras palabras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presentan las reducciones de 63-95 % como impacto del proyecto sin matizar → P1, directa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ya explicaron bien la línea base y la alternancia de condiciones → soltar pregunta 1 y usar el tiempo en la reserva de trazabilidad-auditoría, que es más fina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dicen «inteligencia artificial» o «IA» sin nombrar tecnología → P2 + «¿corre en su infraestructura o llama a un servicio externo?»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«¿el modelo corre en su infraestructura o llama a un servicio externo?»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se pasan del tiempo y saltan el OE4 → ir directo a los resultados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«en una frase, ¿cuál fue el resultado del objetivo 4 y qué tan lejos está de ser generalizable?»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no declaran la muestra de seis participantes ni el carácter de caso único → pedirlo explícitamente  </w:t>
      </w:r>
      <w:r>
        <w:rPr>
          <w:rFonts w:ascii="Calibri" w:hAnsi="Calibri"/>
          <w:b/>
          <w:color w:val="2B2B2B"/>
          <w:sz w:val="22"/>
        </w:rPr>
        <w:t>(pp. 45, 67-68, 244)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solo habla uno de los tres → pedir nominalmente a otro la arquitectura del chatbot (pp. 183-184)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atribuyen a Diomedes Igua toda la parte técnica → recordar que es coautor del MPV de la Fase I (referencia p. 254) y preguntar a los otros dos qué construyeron ellos en esta fase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anuncian WhatsApp como si estuviera hecho → la p. 22 lo declara trabajo futuro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«la p. 22 lo declara como trabajo futuro: ¿está implementado o es la proyección de la arquitectura?»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afirman que el sistema «reduce costos» de la finca → pedir la cifra (no hay costeo en 273 páginas)</w:t>
      </w:r>
    </w:p>
    <w:p>
      <w:r>
        <w:rPr>
          <w:rFonts w:ascii="Calibri" w:hAnsi="Calibri"/>
          <w:b/>
          <w:color w:val="2B2B2B"/>
          <w:sz w:val="22"/>
        </w:rPr>
        <w:t>RESPUESTAS A LOS CONDICIONALES Y A LA RESERVA</w:t>
      </w:r>
      <w:r>
        <w:rPr>
          <w:rFonts w:ascii="Calibri" w:hAnsi="Calibri"/>
          <w:b w:val="0"/>
          <w:color w:val="2B2B2B"/>
          <w:sz w:val="22"/>
        </w:rPr>
        <w:t xml:space="preserve"> — número del condicional (o «R» si es de reserva) y lo que contestó, con cifras y nombres tal como los diga.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La línea base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«¿Los tiempos del procedimiento manual que reportan en la Tabla 26 se midieron antes de implementar el sistema, o los mismos seis operarios reprodujeron el método manual en la misma jornada de pruebas, cuando ya conocían TuFinca?»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Qué es exactamente el motor conversacional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«El documento nombra la tecnología de todas las capas —Blazor Server, ASP.NET Core, Entity Framework, SQL Server— menos la del motor conversacional, del que solo dice qué hace: ¿con qué se implementó concretamente la interpretación de intenciones y la extracción de entidades?»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Quién sostiene el producto entregado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«El sistema quedó desplegado en Azure y ustedes le recomiendan a la finca dejar los registros en papel en una fecha definida: ¿quién paga y administra ese hosting a partir de hoy, y el sistema sigue en línea?»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trazabilidad para auditoría (p. 210 vs. p. 232) · denominadores de la Tabla 30 (p. 213) · conectividad durante las mediciones (p. 46) · escalar a una segunda finca (p. 43)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Dominio:</w:t>
      </w:r>
      <w:r>
        <w:rPr>
          <w:rFonts w:ascii="Calibri" w:hAnsi="Calibri"/>
          <w:b w:val="0"/>
          <w:color w:val="2B2B2B"/>
          <w:sz w:val="22"/>
        </w:rPr>
        <w:t xml:space="preserve"> que nombren y expliquen el motor conversacional sin evasivas y sepan el límite de validez de sus cifras del OE4.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Claridad:</w:t>
      </w:r>
      <w:r>
        <w:rPr>
          <w:rFonts w:ascii="Calibri" w:hAnsi="Calibri"/>
          <w:b w:val="0"/>
          <w:color w:val="2B2B2B"/>
          <w:sz w:val="22"/>
        </w:rPr>
        <w:t xml:space="preserve"> que en 12 min quepan problema, método, muestra de seis, resultado y límite, y que el demo se entienda sin leer la pantalla.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Coherencia:</w:t>
      </w:r>
      <w:r>
        <w:rPr>
          <w:rFonts w:ascii="Calibri" w:hAnsi="Calibri"/>
          <w:b w:val="0"/>
          <w:color w:val="2B2B2B"/>
          <w:sz w:val="22"/>
        </w:rPr>
        <w:t xml:space="preserve"> ya está en 4,6 (pp. 34-35, 195-213); solo baja si contradicen lo escrito sobre la línea base.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Defensa:</w:t>
      </w:r>
      <w:r>
        <w:rPr>
          <w:rFonts w:ascii="Calibri" w:hAnsi="Calibri"/>
          <w:b w:val="0"/>
          <w:color w:val="2B2B2B"/>
          <w:sz w:val="22"/>
        </w:rPr>
        <w:t xml:space="preserve"> que reconozcan el límite de la línea base y del hosting en vez de defenderlo, y que responda más de uno.</w:t>
      </w:r>
    </w:p>
    <w:p>
      <w:r>
        <w:rPr>
          <w:rFonts w:ascii="Calibri" w:hAnsi="Calibri"/>
          <w:b/>
          <w:color w:val="2B2B2B"/>
          <w:sz w:val="22"/>
        </w:rPr>
        <w:t>Partida antes de oír (§7 de la ficha):</w:t>
      </w:r>
      <w:r>
        <w:rPr>
          <w:rFonts w:ascii="Calibri" w:hAnsi="Calibri"/>
          <w:b w:val="0"/>
          <w:color w:val="2B2B2B"/>
          <w:sz w:val="22"/>
        </w:rPr>
        <w:t xml:space="preserve"> alto por el documento; lo que se juega es si el dominio acompaña. 4,6–4,8 es el escenario más probable.</w:t>
      </w:r>
    </w:p>
    <w:p>
      <w:r>
        <w:rPr>
          <w:rFonts w:ascii="Calibri" w:hAnsi="Calibri"/>
          <w:b/>
          <w:color w:val="2B2B2B"/>
          <w:sz w:val="22"/>
        </w:rPr>
        <w:t>Dominio del tema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Claridad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Coherencia del documento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Capacidad de defensa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NOTA QUE REPORTO A LA MODERADORA:  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una sola</w:t>
      </w:r>
      <w:r>
        <w:rPr>
          <w:rFonts w:ascii="Calibri" w:hAnsi="Calibri"/>
          <w:b w:val="0"/>
          <w:color w:val="2B2B2B"/>
          <w:sz w:val="22"/>
        </w:rPr>
        <w:t xml:space="preserve"> nota, y es la única que queda en el acta. Regla: promedio simple de los cuatro criterios de arriba — el instructivo </w:t>
      </w:r>
      <w:r>
        <w:rPr>
          <w:rFonts w:ascii="Calibri" w:hAnsi="Calibri"/>
          <w:b/>
          <w:color w:val="2B2B2B"/>
          <w:sz w:val="22"/>
        </w:rPr>
        <w:t>no publica ponderación entre ellos</w:t>
      </w:r>
      <w:r>
        <w:rPr>
          <w:rFonts w:ascii="Calibri" w:hAnsi="Calibri"/>
          <w:b w:val="0"/>
          <w:color w:val="2B2B2B"/>
          <w:sz w:val="22"/>
        </w:rPr>
        <w:t xml:space="preserve"> (la de la p. 22, con pesos, califica otros seis criterios del informe escrito). Si la moderadora pide criterio por criterio, se leen los cuatro de arriba.</w:t>
      </w:r>
    </w:p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Meritoria</w:t>
      </w:r>
      <w:r>
        <w:rPr>
          <w:rFonts w:ascii="Calibri" w:hAnsi="Calibri"/>
          <w:b w:val="0"/>
          <w:color w:val="2B2B2B"/>
          <w:sz w:val="22"/>
        </w:rPr>
        <w:t xml:space="preserve"> (instructivo p. 11): promedio de jurados ≥ 4,6 y &lt; 5,0, </w:t>
      </w:r>
      <w:r>
        <w:rPr>
          <w:rFonts w:ascii="Calibri" w:hAnsi="Calibri"/>
          <w:b/>
          <w:color w:val="2B2B2B"/>
          <w:sz w:val="22"/>
        </w:rPr>
        <w:t>ninguna nota de jurado</w:t>
      </w:r>
      <w:r>
        <w:rPr>
          <w:rFonts w:ascii="Calibri" w:hAnsi="Calibri"/>
          <w:b w:val="0"/>
          <w:color w:val="2B2B2B"/>
          <w:sz w:val="22"/>
        </w:rPr>
        <w:t xml:space="preserve"> inferior a 4,5, y la pide al menos un jurado. Los cuatro criterios de arriba son </w:t>
      </w:r>
      <w:r>
        <w:rPr>
          <w:rFonts w:ascii="Calibri" w:hAnsi="Calibri"/>
          <w:b/>
          <w:color w:val="2B2B2B"/>
          <w:sz w:val="22"/>
        </w:rPr>
        <w:t>mi retícula interna</w:t>
      </w:r>
      <w:r>
        <w:rPr>
          <w:rFonts w:ascii="Calibri" w:hAnsi="Calibri"/>
          <w:b w:val="0"/>
          <w:color w:val="2B2B2B"/>
          <w:sz w:val="22"/>
        </w:rPr>
        <w:t>, no notas que se reporten: si la que baja de 4,5 es mi nota única,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