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02 · 26ET2-G-002 — Plataforma digital web y móvil con chat inteligente para la promoción turística de Rivera (Huila)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6:20 – 6:40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Ferney Acosta Quimbaya: ______________________________________________________________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Jhon Alexander Osorio Fernández: 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Einsenwauer Alvarez Gutiérrez: _________________________________________________________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⚠️ Los números de la ficha son páginas del PDF: el folio impreso va </w:t>
      </w:r>
      <w:r>
        <w:rPr>
          <w:rFonts w:ascii="Calibri" w:hAnsi="Calibri"/>
          <w:b/>
          <w:i/>
          <w:color w:val="2B2B2B"/>
          <w:sz w:val="21"/>
        </w:rPr>
        <w:t>dos por debajo</w:t>
      </w:r>
      <w:r>
        <w:rPr>
          <w:rFonts w:ascii="Calibri" w:hAnsi="Calibri"/>
          <w:b w:val="0"/>
          <w:i/>
          <w:color w:val="2B2B2B"/>
          <w:sz w:val="21"/>
        </w:rPr>
        <w:t>. Al citar en sala, decir el apartado («al cierre del 8.7») o ambos números.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(§7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El chat respondiendo en vivo sobre la URL pública, con dato que venga de la base y con «no sé» ante una pregunta fuera de alcance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Distinguir con precisión «impacto potencial» de «impacto medido», asumiendo sin defensas que el protocolo no se aplicó. Más que los tres respondan, cada uno de lo suyo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(§6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mostraron el chat funcionando y respondió bien → pedir una pregunta fuera de alcance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mostraron el chat o solo lo mencionaron → P1 completa, incluida la fecha de puesta en producción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presentaron todo con capturas y no abrieron la aplicación → pedir la URL pública en vivo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«Están invitando a probarlo desde el teléfono en la diapositiva 16. ¿Podemos abrirlo ahora y hacer la tarea 1 del guion de la tabla 21: localizar las termales y decir a qué hora abren hoy?»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dijeron que ya aplicaron la prueba de usabilidad → pedir n, fecha y el valor obtenido de la tabla 23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dijeron que la plataforma «ya la usa la Alcaldía» → pedir el acto administrativo o el responsable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afirmaron que la muestra valida el diagnóstico → recordarles su propia página 83 y preguntar qué cambiaría el diseño si hubieran entrevistado a diez hoteleros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pasaron del tiempo y saltaron los resultados o el producto → ir directo al objetivo 3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30 segundos, ¿qué de lo que prometió el objetivo 3 está hoy operando y qué no?»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solo habló uno de los tres → repartir: uno el modelo de datos, otro el chat, otro el diagnóstico  </w:t>
      </w:r>
      <w:r>
        <w:rPr>
          <w:rFonts w:ascii="Calibri" w:hAnsi="Calibri"/>
          <w:b/>
          <w:color w:val="2B2B2B"/>
          <w:sz w:val="22"/>
        </w:rPr>
        <w:t>(p. 73)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el que responde lo técnico no es quien firmó la parte metodológica → pedir a otro integrante que explique por qué el estudio es cualitativo si las tablas 6 y 8 promedian escalas Likert  </w:t>
      </w:r>
      <w:r>
        <w:rPr>
          <w:rFonts w:ascii="Calibri" w:hAnsi="Calibri"/>
          <w:b/>
          <w:color w:val="2B2B2B"/>
          <w:sz w:val="22"/>
        </w:rPr>
        <w:t>(p. 38)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leyeron las diapositivas palabra por palabra → cuenta contra claridad, no preguntar por ello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Estado real del chat: ¿fase siguiente o en producción?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documento dice, al cerrar el apartado 8.6 —folio 68, página 70 del PDF—, que el módulo de chat se contempla como la siguiente fase de desarrollo, y al cerrar el 8.7 —folio 71, página 73 del PDF— que ya opera sobre el entorno productivo. ¿Cuál de las dos es el estado a hoy? Y si está operando, hágale en vivo una pregunta que esté fuera de alcance, para ver la respuesta que ustedes describen en el folio 69.»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Objetivo 4: ¿instrumento diseñado o aplicado?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objetivo 4 es evaluar el impacto potencial. Ustedes diseñaron el protocolo de usabilidad de las tablas 21 a 23, pero la columna “Valor obtenido” de la tabla 23 está vacía. ¿Consideran el objetivo cumplido con el diseño del instrumento, y qué impidió aplicarlo si el prototipo estaba en producción desde julio?»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Empresarios publicando y flujo de moderación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objetivo general habla de fortalecer los emprendimientos productivos, y la tabla 18 registra las pruebas de los perfiles empresario, editor y administrador como “por anexar la captura”. ¿Cuántos empresarios de Rivera tienen hoy una publicación creada por ellos mismos en la plataforma y qué pasó cuando pasó por el flujo de moderación de la Secretaría?»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arquitectura de la PWA y quién la sostiene · muestra del diagnóstico y su alcance · qué queda de la plataforma cuando cambie la administración municipal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Sin demostración en vivo del producto que ellos mismos invitan a probar, difícilmente pasa de 4,4.</w:t>
      </w:r>
    </w:p>
    <w:p>
      <w:r>
        <w:rPr>
          <w:rFonts w:ascii="Calibri" w:hAnsi="Calibri"/>
          <w:b/>
          <w:color w:val="2B2B2B"/>
          <w:sz w:val="22"/>
        </w:rPr>
        <w:t>Partida antes de oír (§7 de la ficha):</w:t>
      </w:r>
      <w:r>
        <w:rPr>
          <w:rFonts w:ascii="Calibri" w:hAnsi="Calibri"/>
          <w:b w:val="0"/>
          <w:color w:val="2B2B2B"/>
          <w:sz w:val="22"/>
        </w:rPr>
        <w:t xml:space="preserve"> 4,3 – 4,7. Mueve la aguja una sola cosa: que el chat y el perfil de empresario se vean funcionando.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