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03 · 26ET2-G-003 — Análisis y modernización del archivo municipal de la Secretaría de Gobierno de San Francisco (Putumayo), vigencia 2024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6:40 – 7:00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José Javier Galvis Noguera: 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Eliana Naranjo Cortés: ________________________________________________________________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Cristian David Forero Álvarez: 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Gloria Nahtaly Florez Susa: 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(§7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sostengan en vivo la distinción de la Tabla 14 sin inflar el producto, corrigiendo ellos mismos la diapositiva del AES-256 —</w:t>
      </w:r>
      <w:r>
        <w:rPr>
          <w:rFonts w:ascii="Calibri" w:hAnsi="Calibri"/>
          <w:b/>
          <w:color w:val="2B2B2B"/>
          <w:sz w:val="22"/>
        </w:rPr>
        <w:t>sin (a) no hay 4,6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Una cifra concreta de la muestra del FUID con su criterio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reconozcan que la verificación fue de laboratorio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hablen al menos tres de los cuatro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video de la diapositiva 9 no corre o no lo alcanzan a mostrar → P3 y pedir descripción del prototipo por dentro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el video muestra el prototipo funcionando → preguntar con qué datos y en qué entorno  </w:t>
      </w:r>
      <w:r>
        <w:rPr>
          <w:rFonts w:ascii="Calibri" w:hAnsi="Calibri"/>
          <w:b/>
          <w:color w:val="2B2B2B"/>
          <w:sz w:val="22"/>
        </w:rPr>
        <w:t>(p. 105)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el módulo de respaldos que acabo de ver, ¿ese respaldo cifrado se ejecuta o es la vista de la función proyectada?»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dicen que el sistema «está implementado en la Alcaldía» → P3, directa  </w:t>
      </w:r>
      <w:r>
        <w:rPr>
          <w:rFonts w:ascii="Calibri" w:hAnsi="Calibri"/>
          <w:b/>
          <w:color w:val="2B2B2B"/>
          <w:sz w:val="22"/>
        </w:rPr>
        <w:t>(p. 105)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presentan la reducción de 45-90 min a menos de 5 como resultado obtenido → pedir la medición y su n  </w:t>
      </w:r>
      <w:r>
        <w:rPr>
          <w:rFonts w:ascii="Calibri" w:hAnsi="Calibri"/>
          <w:b/>
          <w:color w:val="2B2B2B"/>
          <w:sz w:val="22"/>
        </w:rPr>
        <w:t>(p. 92)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afirman que capacitaron al personal → pedir fecha, número de funcionarios y evidencia  </w:t>
      </w:r>
      <w:r>
        <w:rPr>
          <w:rFonts w:ascii="Calibri" w:hAnsi="Calibri"/>
          <w:b/>
          <w:color w:val="2B2B2B"/>
          <w:sz w:val="22"/>
        </w:rPr>
        <w:t>(p. 27)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dicen «muestra censal» en la exposición → P2, directa  </w:t>
      </w:r>
      <w:r>
        <w:rPr>
          <w:rFonts w:ascii="Calibri" w:hAnsi="Calibri"/>
          <w:b/>
          <w:color w:val="2B2B2B"/>
          <w:sz w:val="22"/>
        </w:rPr>
        <w:t>(pp. 78, 86 y 130)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«¿fue una muestra o el censo?»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diagnóstico se presenta como el resultado principal y el prototipo queda de adorno → pedir que expliquen qué decisión de diseño del SGDEA salió directamente de un hallazgo del diagnóstico; el documento tiene la respuesta buena (los cuatro hallazgos críticos que originan el RBAC, p. 95)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mencionan una sola limitación → preguntar directamente cuáles son los tres límites del trabajo y qué no se puede concluir de él; es el hueco de la sección 5 (pp. 23-32)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habla uno o dos integrantes → pedir explícitamente a quien no habló que explique su parte: al que sostenga la parte archivística, cómo se construyó el DCF de tres niveles (p. 88); al de la parte técnica, cómo se probó la persistencia (CP-01, p. 109)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atribuyen a la plataforma el «blindaje jurídico» de la Secretaría (p. 134) → preguntar qué obligación normativa concreta queda cubierta hoy y cuál solo quedará cubierta cuando se implemente, en particular frente a la Ley 1581 de 2012, que el propio diagnóstico calificó en 1/5 (p. 80) y cuyo protocolo se recomienda redactar (p. 136)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director ya preguntó por la muestra o por el estado del prototipo → pasar a P1 y a reserva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pasan de tiempo y saltan resultados → ir directo al objetivo 4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«¿qué se verificó, dónde y con quién?»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Qué quedó implementado y qué está solo representado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Tabla 14 distingue con mucho cuidado lo implementado y probado de lo que está solo representado en la interfaz, y ubica el cifrado AES-256 y el hash SHA-256 en el segundo grupo. La diapositiva 10 concluye, en cambio, que se verificó la integridad con cifrado AES-256. ¿Me pueden precisar qué quedó implementado y probado en el prototipo y qué está representado a nivel de interfaz?»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Cuántos expedientes se inventariaron de verdad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documento precisa tres veces que el FUID se aplicó sobre una muestra y no sobre el censo de la vigencia 2024, mientras la diapositiva 4 dice muestra de tipo censal. ¿Cuántos expedientes o cuántos folios quedaron efectivamente inventariados, y con qué criterio se escogieron?»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Quién usó el prototipo y con qué datos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cuarto objetivo es verificar el prototipo en un entorno institucional controlado. La verificación documentada se hizo sobre un portátil personal, en localhost, y la implementación institucional aparece como proyectada. ¿Algún funcionario de la Secretaría usó el prototipo, y con qué datos: expedientes reales de 2024 o datos de prueba?»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el «blindaje jurídico» atribuido a la plataforma (p. 134) · qué de las cifras de las pp. 24, 92 y 113 es proyección · cómo funciona el prototipo por dentro: DCF, DRS, RBAC, persistencia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4,4 es el escenario más probable con el estado de los dos entregables.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