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06 · 26ET2-G-006 — Sistema web inteligente de licitaciones para la Agroindustrial de Palma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7:40 – 8:00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Edwin Vivas Soto: ____________________________________________________________________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Ingrid Johanna Romero Lázaro: 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Jimmy Leandro Calderón Rubio: 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(§7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el sistema se vea o se explique operando sobre una licitación real, con la cifra de concordancia entre proveedor sugerido y adjudicado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asuman que lo medido es adopción ADKAR y no las cinco dimensiones de la p. 76, con origen claro del 35 %. Más las 32 horas explicadas y que los tres respondan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mostraron el sistema en vivo y explicaron el ranking sobre una licitación real → pedir la concordancia ranking-adjudicación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mostraron capturas o un video → pedir que expliquen el motor de ponderación por dentro  </w:t>
      </w:r>
      <w:r>
        <w:rPr>
          <w:rFonts w:ascii="Calibri" w:hAnsi="Calibri"/>
          <w:b/>
          <w:color w:val="2B2B2B"/>
          <w:sz w:val="22"/>
        </w:rPr>
        <w:t>(p. 142)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presentaron la reducción del ciclo como «proyectada» (diap. 5) y no llevaron la Tabla 55 → P3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«¿Cuál es el dato medido a hoy?»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mostraron ningún KPI en las diapositivas 11 y 12 → pedir los resultados en una frase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afirmaron «100 % de éxito en UAT» sin matizar → pedir alcance y quién firmó  </w:t>
      </w:r>
      <w:r>
        <w:rPr>
          <w:rFonts w:ascii="Calibri" w:hAnsi="Calibri"/>
          <w:b/>
          <w:color w:val="2B2B2B"/>
          <w:sz w:val="22"/>
        </w:rPr>
        <w:t>(p. 240)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dijeron que la madurez digital subió 53 % → P1, directa  </w:t>
      </w:r>
      <w:r>
        <w:rPr>
          <w:rFonts w:ascii="Calibri" w:hAnsi="Calibri"/>
          <w:b/>
          <w:color w:val="2B2B2B"/>
          <w:sz w:val="22"/>
        </w:rPr>
        <w:t>(p. 233)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dijeron que el sistema «elimina la subjetividad» de la adjudicación → P2  </w:t>
      </w:r>
      <w:r>
        <w:rPr>
          <w:rFonts w:ascii="Calibri" w:hAnsi="Calibri"/>
          <w:b/>
          <w:color w:val="2B2B2B"/>
          <w:sz w:val="22"/>
        </w:rPr>
        <w:t>(p. 226)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mencionaron integración con ERP como algo ya hecho → contrastar con las limitaciones (pp. 28, 30), donde está excluida del alcance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pasaron del tiempo y saltaron resultados → ir directo al objetivo 4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30 segundos, ¿qué midieron antes y después, con qué instrumento?»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habló un integrante → repartir: uno el motor, otro el ADKAR, otro los datos  </w:t>
      </w:r>
      <w:r>
        <w:rPr>
          <w:rFonts w:ascii="Calibri" w:hAnsi="Calibri"/>
          <w:b/>
          <w:color w:val="2B2B2B"/>
          <w:sz w:val="22"/>
        </w:rPr>
        <w:t>(pp. 143-144)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el que expone lo técnico no puede explicar el ADKAR, o viceversa → no insistir: anotarlo como dominio parcial del equipo y usarlo al calibrar la nota, no para acorralar en público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leyeron las diapositivas palabra por palabra → no se pregunta, se anota: afecta claridad y dominio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Con qué instrumento midieron la madurez digital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cuarto objetivo pide medición comparativa de madurez digital, y en la página 76 declaran un instrumento de cinco dimensiones —automatización, integración, analítica, seguridad y gobernanza— en escala de 1 a 5, antes y después. Lo que reportan en la página 235 es la matriz ADKAR de adopción. ¿Con qué instrumento, cuándo y a quiénes midieron el 35 % de línea base?»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Concordancia entre el ranking y la adjudicación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valor del proyecto está en el motor multicriterio que genera el ranking, y ustedes conservaron la decisión final en la Dirección Administrativa. En las 10 licitaciones ya ejecutadas, ¿en cuántas se adjudicó al proveedor sugerido por el sistema, y qué pasó en las que no?»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Las 32 horas contadas dos veces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 página 100 dice que consolidación y evaluación, juntas, tomaban unas 32 horas. La Tabla 55 de la página 233 abre dos indicadores y le asigna 32 horas a cada uno, los dos con una reducción del 98,4 %. ¿Son dos bloques distintos de tiempo o es el mismo bloque contado dos veces?»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pruebas de seguridad y acta de aceptación · integración con ERP: ¿hecha o proyectada? · cómo se ponderan los criterios y quién los fija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Sin la concordancia ranking-adjudicación y sin el origen del 35 %, difícilmente pasa de 4,4.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4,2 – 4,6. El producto no está en duda; la medición del impacto sí.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