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 Repository-as-Source-of-Truth Architecture for AI-Assisted Course Material Authoring: An Experience Report from Five Undergraduate and Graduate Courses</w:t>
      </w:r>
    </w:p>
    <w:p>
      <w:r>
        <w:rPr>
          <w:rFonts w:ascii="Calibri" w:hAnsi="Calibri"/>
          <w:b/>
          <w:color w:val="2B2B2B"/>
          <w:sz w:val="22"/>
        </w:rPr>
        <w:t>Una arquitectura de repositorio como fuente única para la autoría de material docente asistida por IA: informe de experiencia en cinco asignaturas de pregrado y posgrado</w:t>
      </w:r>
    </w:p>
    <w:p>
      <w:r>
        <w:rPr>
          <w:rFonts w:ascii="Calibri" w:hAnsi="Calibri"/>
          <w:b/>
          <w:color w:val="2B2B2B"/>
          <w:sz w:val="22"/>
        </w:rPr>
        <w:t>[Author details withheld for blind review]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ABSTRACT</w:t>
      </w:r>
    </w:p>
    <w:p>
      <w:r>
        <w:rPr>
          <w:rFonts w:ascii="Calibri" w:hAnsi="Calibri"/>
          <w:b w:val="0"/>
          <w:color w:val="2B2B2B"/>
          <w:sz w:val="22"/>
        </w:rPr>
        <w:t>Generative AI is now routinely used to draft teaching material, but most reported practice consists</w:t>
      </w:r>
    </w:p>
    <w:p>
      <w:r>
        <w:rPr>
          <w:rFonts w:ascii="Calibri" w:hAnsi="Calibri"/>
          <w:b w:val="0"/>
          <w:color w:val="2B2B2B"/>
          <w:sz w:val="22"/>
        </w:rPr>
        <w:t>of ad-hoc prompting: an instructor asks a chat assistant for a lesson plan, copies the output into a</w:t>
      </w:r>
    </w:p>
    <w:p>
      <w:r>
        <w:rPr>
          <w:rFonts w:ascii="Calibri" w:hAnsi="Calibri"/>
          <w:b w:val="0"/>
          <w:color w:val="2B2B2B"/>
          <w:sz w:val="22"/>
        </w:rPr>
        <w:t>document, and the provenance of every factual claim is lost at that moment. This report describes a</w:t>
      </w:r>
    </w:p>
    <w:p>
      <w:r>
        <w:rPr>
          <w:rFonts w:ascii="Calibri" w:hAnsi="Calibri"/>
          <w:b w:val="0"/>
          <w:color w:val="2B2B2B"/>
          <w:sz w:val="22"/>
        </w:rPr>
        <w:t>different arrangement, built and operated by one instructor across five courses over one academic</w:t>
      </w:r>
    </w:p>
    <w:p>
      <w:r>
        <w:rPr>
          <w:rFonts w:ascii="Calibri" w:hAnsi="Calibri"/>
          <w:b w:val="0"/>
          <w:color w:val="2B2B2B"/>
          <w:sz w:val="22"/>
        </w:rPr>
        <w:t>term, in which the assistant never invents curricular facts because it is not permitted to hold</w:t>
      </w:r>
    </w:p>
    <w:p>
      <w:r>
        <w:rPr>
          <w:rFonts w:ascii="Calibri" w:hAnsi="Calibri"/>
          <w:b w:val="0"/>
          <w:color w:val="2B2B2B"/>
          <w:sz w:val="22"/>
        </w:rPr>
        <w:t>them. Course codes, session topics, assessment weights, deadlines and institutional URLs live in a</w:t>
      </w:r>
    </w:p>
    <w:p>
      <w:r>
        <w:rPr>
          <w:rFonts w:ascii="Calibri" w:hAnsi="Calibri"/>
          <w:b w:val="0"/>
          <w:color w:val="2B2B2B"/>
          <w:sz w:val="22"/>
        </w:rPr>
        <w:t>version-controlled repository as executable Python data; generation scripts read that data and emit</w:t>
      </w:r>
    </w:p>
    <w:p>
      <w:r>
        <w:rPr>
          <w:rFonts w:ascii="Calibri" w:hAnsi="Calibri"/>
          <w:b w:val="0"/>
          <w:color w:val="2B2B2B"/>
          <w:sz w:val="22"/>
        </w:rPr>
        <w:t>the deliverables; and the assistant's role is confined to prose and structure. We describe the</w:t>
      </w:r>
    </w:p>
    <w:p>
      <w:r>
        <w:rPr>
          <w:rFonts w:ascii="Calibri" w:hAnsi="Calibri"/>
          <w:b w:val="0"/>
          <w:color w:val="2B2B2B"/>
          <w:sz w:val="22"/>
        </w:rPr>
        <w:t>architecture, four safety patterns that emerged from operational failures rather than from design</w:t>
      </w:r>
    </w:p>
    <w:p>
      <w:r>
        <w:rPr>
          <w:rFonts w:ascii="Calibri" w:hAnsi="Calibri"/>
          <w:b w:val="0"/>
          <w:color w:val="2B2B2B"/>
          <w:sz w:val="22"/>
        </w:rPr>
        <w:t>(dry-run-first ordering, machine-readable receipts, verification by export rather than by screen,</w:t>
      </w:r>
    </w:p>
    <w:p>
      <w:r>
        <w:rPr>
          <w:rFonts w:ascii="Calibri" w:hAnsi="Calibri"/>
          <w:b w:val="0"/>
          <w:color w:val="2B2B2B"/>
          <w:sz w:val="22"/>
        </w:rPr>
        <w:t>and single-writer discipline), and the categories of error that the arrangement does and does not</w:t>
      </w:r>
    </w:p>
    <w:p>
      <w:r>
        <w:rPr>
          <w:rFonts w:ascii="Calibri" w:hAnsi="Calibri"/>
          <w:b w:val="0"/>
          <w:color w:val="2B2B2B"/>
          <w:sz w:val="22"/>
        </w:rPr>
        <w:t>prevent. We report what the system covers — 5 courses and 50 planned sessions — and we are explicit</w:t>
      </w:r>
    </w:p>
    <w:p>
      <w:r>
        <w:rPr>
          <w:rFonts w:ascii="Calibri" w:hAnsi="Calibri"/>
          <w:b w:val="0"/>
          <w:color w:val="2B2B2B"/>
          <w:sz w:val="22"/>
        </w:rPr>
        <w:t>that this is a single-instructor, single-institution experience report without a control condition,</w:t>
      </w:r>
    </w:p>
    <w:p>
      <w:r>
        <w:rPr>
          <w:rFonts w:ascii="Calibri" w:hAnsi="Calibri"/>
          <w:b w:val="0"/>
          <w:color w:val="2B2B2B"/>
          <w:sz w:val="22"/>
        </w:rPr>
        <w:t>without learning-outcome measurement and without inter-rater assessment of material quality. The</w:t>
      </w:r>
    </w:p>
    <w:p>
      <w:r>
        <w:rPr>
          <w:rFonts w:ascii="Calibri" w:hAnsi="Calibri"/>
          <w:b w:val="0"/>
          <w:color w:val="2B2B2B"/>
          <w:sz w:val="22"/>
        </w:rPr>
        <w:t>contribution is architectural and cautionary, not evaluative: we argue that the useful question is</w:t>
      </w:r>
    </w:p>
    <w:p>
      <w:r>
        <w:rPr>
          <w:rFonts w:ascii="Calibri" w:hAnsi="Calibri"/>
          <w:b w:val="0"/>
          <w:color w:val="2B2B2B"/>
          <w:sz w:val="22"/>
        </w:rPr>
        <w:t>not whether AI can draft teaching material, which it plainly can, but where the authoritative copy</w:t>
      </w:r>
    </w:p>
    <w:p>
      <w:r>
        <w:rPr>
          <w:rFonts w:ascii="Calibri" w:hAnsi="Calibri"/>
          <w:b w:val="0"/>
          <w:color w:val="2B2B2B"/>
          <w:sz w:val="22"/>
        </w:rPr>
        <w:t>of curricular fact should live so that drafting cannot silently corrupt it.</w:t>
      </w:r>
    </w:p>
    <w:p>
      <w:r>
        <w:rPr>
          <w:rFonts w:ascii="Calibri" w:hAnsi="Calibri"/>
          <w:b/>
          <w:color w:val="2B2B2B"/>
          <w:sz w:val="22"/>
        </w:rPr>
        <w:t>Keywords:</w:t>
      </w:r>
      <w:r>
        <w:rPr>
          <w:rFonts w:ascii="Calibri" w:hAnsi="Calibri"/>
          <w:b w:val="0"/>
          <w:color w:val="2B2B2B"/>
          <w:sz w:val="22"/>
        </w:rPr>
        <w:t xml:space="preserve"> AI-assisted authoring, educational technology, single source of truth, reproducibility,</w:t>
      </w:r>
    </w:p>
    <w:p>
      <w:r>
        <w:rPr>
          <w:rFonts w:ascii="Calibri" w:hAnsi="Calibri"/>
          <w:b w:val="0"/>
          <w:color w:val="2B2B2B"/>
          <w:sz w:val="22"/>
        </w:rPr>
        <w:t>instructional design, higher education, large language models, workflow architecture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RESUMEN</w:t>
      </w:r>
    </w:p>
    <w:p>
      <w:r>
        <w:rPr>
          <w:rFonts w:ascii="Calibri" w:hAnsi="Calibri"/>
          <w:b w:val="0"/>
          <w:color w:val="2B2B2B"/>
          <w:sz w:val="22"/>
        </w:rPr>
        <w:t>La IA generativa se usa ya de forma corriente para redactar material docente, pero la práctica</w:t>
      </w:r>
    </w:p>
    <w:p>
      <w:r>
        <w:rPr>
          <w:rFonts w:ascii="Calibri" w:hAnsi="Calibri"/>
          <w:b w:val="0"/>
          <w:color w:val="2B2B2B"/>
          <w:sz w:val="22"/>
        </w:rPr>
        <w:t>reportada suele ser improvisada: el docente pide un plan de clase a un asistente, copia la salida a</w:t>
      </w:r>
    </w:p>
    <w:p>
      <w:r>
        <w:rPr>
          <w:rFonts w:ascii="Calibri" w:hAnsi="Calibri"/>
          <w:b w:val="0"/>
          <w:color w:val="2B2B2B"/>
          <w:sz w:val="22"/>
        </w:rPr>
        <w:t>un documento y en ese momento se pierde la trazabilidad de cada dato. Este informe describe una</w:t>
      </w:r>
    </w:p>
    <w:p>
      <w:r>
        <w:rPr>
          <w:rFonts w:ascii="Calibri" w:hAnsi="Calibri"/>
          <w:b w:val="0"/>
          <w:color w:val="2B2B2B"/>
          <w:sz w:val="22"/>
        </w:rPr>
        <w:t>disposición distinta, construida y operada por un solo docente en cinco asignaturas durante un</w:t>
      </w:r>
    </w:p>
    <w:p>
      <w:r>
        <w:rPr>
          <w:rFonts w:ascii="Calibri" w:hAnsi="Calibri"/>
          <w:b w:val="0"/>
          <w:color w:val="2B2B2B"/>
          <w:sz w:val="22"/>
        </w:rPr>
        <w:t>periodo académico, en la que el asistente no inventa hechos curriculares porque no se le permite</w:t>
      </w:r>
    </w:p>
    <w:p>
      <w:r>
        <w:rPr>
          <w:rFonts w:ascii="Calibri" w:hAnsi="Calibri"/>
          <w:b w:val="0"/>
          <w:color w:val="2B2B2B"/>
          <w:sz w:val="22"/>
        </w:rPr>
        <w:t>custodiarlos. Los códigos de asignatura, los temas por sesión, los pesos de evaluación, las fechas y</w:t>
      </w:r>
    </w:p>
    <w:p>
      <w:r>
        <w:rPr>
          <w:rFonts w:ascii="Calibri" w:hAnsi="Calibri"/>
          <w:b w:val="0"/>
          <w:color w:val="2B2B2B"/>
          <w:sz w:val="22"/>
        </w:rPr>
        <w:t>las URL institucionales viven en un repositorio versionado como datos ejecutables de Python; unos</w:t>
      </w:r>
    </w:p>
    <w:p>
      <w:r>
        <w:rPr>
          <w:rFonts w:ascii="Calibri" w:hAnsi="Calibri"/>
          <w:b w:val="0"/>
          <w:color w:val="2B2B2B"/>
          <w:sz w:val="22"/>
        </w:rPr>
        <w:t>guiones de generación leen esos datos y emiten los entregables; y el papel del asistente se limita a</w:t>
      </w:r>
    </w:p>
    <w:p>
      <w:r>
        <w:rPr>
          <w:rFonts w:ascii="Calibri" w:hAnsi="Calibri"/>
          <w:b w:val="0"/>
          <w:color w:val="2B2B2B"/>
          <w:sz w:val="22"/>
        </w:rPr>
        <w:t>la prosa y la estructura. Describimos la arquitectura, cuatro patrones de seguridad que surgieron de</w:t>
      </w:r>
    </w:p>
    <w:p>
      <w:r>
        <w:rPr>
          <w:rFonts w:ascii="Calibri" w:hAnsi="Calibri"/>
          <w:b w:val="0"/>
          <w:color w:val="2B2B2B"/>
          <w:sz w:val="22"/>
        </w:rPr>
        <w:t>fallos de operación y no del diseño, y las clases de error que la disposición evita y las que no.</w:t>
      </w:r>
    </w:p>
    <w:p>
      <w:r>
        <w:rPr>
          <w:rFonts w:ascii="Calibri" w:hAnsi="Calibri"/>
          <w:b w:val="0"/>
          <w:color w:val="2B2B2B"/>
          <w:sz w:val="22"/>
        </w:rPr>
        <w:t>Reportamos la cobertura del sistema —5 asignaturas y 50 sesiones planificadas— y declaramos</w:t>
      </w:r>
    </w:p>
    <w:p>
      <w:r>
        <w:rPr>
          <w:rFonts w:ascii="Calibri" w:hAnsi="Calibri"/>
          <w:b w:val="0"/>
          <w:color w:val="2B2B2B"/>
          <w:sz w:val="22"/>
        </w:rPr>
        <w:t>explícitamente que se trata de un informe de experiencia de un solo docente en una sola institución,</w:t>
      </w:r>
    </w:p>
    <w:p>
      <w:r>
        <w:rPr>
          <w:rFonts w:ascii="Calibri" w:hAnsi="Calibri"/>
          <w:b w:val="0"/>
          <w:color w:val="2B2B2B"/>
          <w:sz w:val="22"/>
        </w:rPr>
        <w:t>sin condición de control, sin medición de resultados de aprendizaje y sin evaluación con jueces</w:t>
      </w:r>
    </w:p>
    <w:p>
      <w:r>
        <w:rPr>
          <w:rFonts w:ascii="Calibri" w:hAnsi="Calibri"/>
          <w:b w:val="0"/>
          <w:color w:val="2B2B2B"/>
          <w:sz w:val="22"/>
        </w:rPr>
        <w:t>independientes de la calidad del material. La contribución es arquitectónica y cautelar, no</w:t>
      </w:r>
    </w:p>
    <w:p>
      <w:r>
        <w:rPr>
          <w:rFonts w:ascii="Calibri" w:hAnsi="Calibri"/>
          <w:b w:val="0"/>
          <w:color w:val="2B2B2B"/>
          <w:sz w:val="22"/>
        </w:rPr>
        <w:t>evaluativa.</w:t>
      </w:r>
    </w:p>
    <w:p>
      <w:r>
        <w:rPr>
          <w:rFonts w:ascii="Calibri" w:hAnsi="Calibri"/>
          <w:b/>
          <w:color w:val="2B2B2B"/>
          <w:sz w:val="22"/>
        </w:rPr>
        <w:t>Palabras clave:</w:t>
      </w:r>
      <w:r>
        <w:rPr>
          <w:rFonts w:ascii="Calibri" w:hAnsi="Calibri"/>
          <w:b w:val="0"/>
          <w:color w:val="2B2B2B"/>
          <w:sz w:val="22"/>
        </w:rPr>
        <w:t xml:space="preserve"> autoría asistida por IA, tecnología educativa, fuente única de verdad,</w:t>
      </w:r>
    </w:p>
    <w:p>
      <w:r>
        <w:rPr>
          <w:rFonts w:ascii="Calibri" w:hAnsi="Calibri"/>
          <w:b w:val="0"/>
          <w:color w:val="2B2B2B"/>
          <w:sz w:val="22"/>
        </w:rPr>
        <w:t>reproducibilidad, diseño instruccional, educación superior, modelos de lenguaje, arquitectura de</w:t>
      </w:r>
    </w:p>
    <w:p>
      <w:r>
        <w:rPr>
          <w:rFonts w:ascii="Calibri" w:hAnsi="Calibri"/>
          <w:b w:val="0"/>
          <w:color w:val="2B2B2B"/>
          <w:sz w:val="22"/>
        </w:rPr>
        <w:t>flujo de trabajo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 INTRODUCTION</w:t>
      </w:r>
    </w:p>
    <w:p>
      <w:r>
        <w:rPr>
          <w:rFonts w:ascii="Calibri" w:hAnsi="Calibri"/>
          <w:b w:val="0"/>
          <w:color w:val="2B2B2B"/>
          <w:sz w:val="22"/>
        </w:rPr>
        <w:t>The question of whether a large language model can draft a serviceable lesson plan has been settled</w:t>
      </w:r>
    </w:p>
    <w:p>
      <w:r>
        <w:rPr>
          <w:rFonts w:ascii="Calibri" w:hAnsi="Calibri"/>
          <w:b w:val="0"/>
          <w:color w:val="2B2B2B"/>
          <w:sz w:val="22"/>
        </w:rPr>
        <w:t>in the affirmative by ordinary practice. Instructors do it daily. The question that remains open,</w:t>
      </w:r>
    </w:p>
    <w:p>
      <w:r>
        <w:rPr>
          <w:rFonts w:ascii="Calibri" w:hAnsi="Calibri"/>
          <w:b w:val="0"/>
          <w:color w:val="2B2B2B"/>
          <w:sz w:val="22"/>
        </w:rPr>
        <w:t>and that this report addresses, is narrower and more consequential: **when an assistant drafts</w:t>
      </w:r>
    </w:p>
    <w:p>
      <w:r>
        <w:rPr>
          <w:rFonts w:ascii="Calibri" w:hAnsi="Calibri"/>
          <w:b w:val="0"/>
          <w:color w:val="2B2B2B"/>
          <w:sz w:val="22"/>
        </w:rPr>
        <w:t>teaching material, where does the authoritative version of the underlying curricular fact live?**</w:t>
      </w:r>
    </w:p>
    <w:p>
      <w:r>
        <w:rPr>
          <w:rFonts w:ascii="Calibri" w:hAnsi="Calibri"/>
          <w:b w:val="0"/>
          <w:color w:val="2B2B2B"/>
          <w:sz w:val="22"/>
        </w:rPr>
        <w:t>The distinction matters because the two most damaging failure modes in AI-assisted course authoring</w:t>
      </w:r>
    </w:p>
    <w:p>
      <w:r>
        <w:rPr>
          <w:rFonts w:ascii="Calibri" w:hAnsi="Calibri"/>
          <w:b w:val="0"/>
          <w:color w:val="2B2B2B"/>
          <w:sz w:val="22"/>
        </w:rPr>
        <w:t>are not stylistic. They are (i) the assistant confidently asserting an institutional fact that is</w:t>
      </w:r>
    </w:p>
    <w:p>
      <w:r>
        <w:rPr>
          <w:rFonts w:ascii="Calibri" w:hAnsi="Calibri"/>
          <w:b w:val="0"/>
          <w:color w:val="2B2B2B"/>
          <w:sz w:val="22"/>
        </w:rPr>
        <w:t>wrong — an assessment weight, a submission deadline, a course code, a platform URL — and (ii) the</w:t>
      </w:r>
    </w:p>
    <w:p>
      <w:r>
        <w:rPr>
          <w:rFonts w:ascii="Calibri" w:hAnsi="Calibri"/>
          <w:b w:val="0"/>
          <w:color w:val="2B2B2B"/>
          <w:sz w:val="22"/>
        </w:rPr>
        <w:t>same fact appearing in several generated documents with different values, so that a student reading</w:t>
      </w:r>
    </w:p>
    <w:p>
      <w:r>
        <w:rPr>
          <w:rFonts w:ascii="Calibri" w:hAnsi="Calibri"/>
          <w:b w:val="0"/>
          <w:color w:val="2B2B2B"/>
          <w:sz w:val="22"/>
        </w:rPr>
        <w:t>the syllabus, the slide deck and the assignment brief receives three mutually inconsistent</w:t>
      </w:r>
    </w:p>
    <w:p>
      <w:r>
        <w:rPr>
          <w:rFonts w:ascii="Calibri" w:hAnsi="Calibri"/>
          <w:b w:val="0"/>
          <w:color w:val="2B2B2B"/>
          <w:sz w:val="22"/>
        </w:rPr>
        <w:t>instructions. Neither failure is detectable by reading the generated document in isolation, because</w:t>
      </w:r>
    </w:p>
    <w:p>
      <w:r>
        <w:rPr>
          <w:rFonts w:ascii="Calibri" w:hAnsi="Calibri"/>
          <w:b w:val="0"/>
          <w:color w:val="2B2B2B"/>
          <w:sz w:val="22"/>
        </w:rPr>
        <w:t>each document is internally coherent. Both are detectable immediately if the fact has exactly one</w:t>
      </w:r>
    </w:p>
    <w:p>
      <w:r>
        <w:rPr>
          <w:rFonts w:ascii="Calibri" w:hAnsi="Calibri"/>
          <w:b w:val="0"/>
          <w:color w:val="2B2B2B"/>
          <w:sz w:val="22"/>
        </w:rPr>
        <w:t>authoritative location.</w:t>
      </w:r>
    </w:p>
    <w:p>
      <w:r>
        <w:rPr>
          <w:rFonts w:ascii="Calibri" w:hAnsi="Calibri"/>
          <w:b w:val="0"/>
          <w:color w:val="2B2B2B"/>
          <w:sz w:val="22"/>
        </w:rPr>
        <w:t>This report describes a system built on that single premise, operated by one instructor across five</w:t>
      </w:r>
    </w:p>
    <w:p>
      <w:r>
        <w:rPr>
          <w:rFonts w:ascii="Calibri" w:hAnsi="Calibri"/>
          <w:b w:val="0"/>
          <w:color w:val="2B2B2B"/>
          <w:sz w:val="22"/>
        </w:rPr>
        <w:t>courses in one term, and it reports the operational consequences honestly, including the ones that</w:t>
      </w:r>
    </w:p>
    <w:p>
      <w:r>
        <w:rPr>
          <w:rFonts w:ascii="Calibri" w:hAnsi="Calibri"/>
          <w:b w:val="0"/>
          <w:color w:val="2B2B2B"/>
          <w:sz w:val="22"/>
        </w:rPr>
        <w:t>were unwelcome.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1.1 Scope and what this report is not</w:t>
      </w:r>
    </w:p>
    <w:p>
      <w:r>
        <w:rPr>
          <w:rFonts w:ascii="Calibri" w:hAnsi="Calibri"/>
          <w:b w:val="0"/>
          <w:color w:val="2B2B2B"/>
          <w:sz w:val="22"/>
        </w:rPr>
        <w:t xml:space="preserve">This is an </w:t>
      </w:r>
      <w:r>
        <w:rPr>
          <w:rFonts w:ascii="Calibri" w:hAnsi="Calibri"/>
          <w:b/>
          <w:color w:val="2B2B2B"/>
          <w:sz w:val="22"/>
        </w:rPr>
        <w:t>experience report</w:t>
      </w:r>
      <w:r>
        <w:rPr>
          <w:rFonts w:ascii="Calibri" w:hAnsi="Calibri"/>
          <w:b w:val="0"/>
          <w:color w:val="2B2B2B"/>
          <w:sz w:val="22"/>
        </w:rPr>
        <w:t>, in the sense established in the software engineering literature:</w:t>
      </w:r>
    </w:p>
    <w:p>
      <w:r>
        <w:rPr>
          <w:rFonts w:ascii="Calibri" w:hAnsi="Calibri"/>
          <w:b w:val="0"/>
          <w:color w:val="2B2B2B"/>
          <w:sz w:val="22"/>
        </w:rPr>
        <w:t>a structured account of a system built and operated in a real setting, offered for its architectural</w:t>
      </w:r>
    </w:p>
    <w:p>
      <w:r>
        <w:rPr>
          <w:rFonts w:ascii="Calibri" w:hAnsi="Calibri"/>
          <w:b w:val="0"/>
          <w:color w:val="2B2B2B"/>
          <w:sz w:val="22"/>
        </w:rPr>
        <w:t xml:space="preserve">lessons rather than as evidence of effect. It is explicitly </w:t>
      </w:r>
      <w:r>
        <w:rPr>
          <w:rFonts w:ascii="Calibri" w:hAnsi="Calibri"/>
          <w:b/>
          <w:color w:val="2B2B2B"/>
          <w:sz w:val="22"/>
        </w:rPr>
        <w:t>not</w:t>
      </w:r>
      <w:r>
        <w:rPr>
          <w:rFonts w:ascii="Calibri" w:hAnsi="Calibri"/>
          <w:b w:val="0"/>
          <w:color w:val="2B2B2B"/>
          <w:sz w:val="22"/>
        </w:rPr>
        <w:t xml:space="preserve"> a controlled study. There is no</w:t>
      </w:r>
    </w:p>
    <w:p>
      <w:r>
        <w:rPr>
          <w:rFonts w:ascii="Calibri" w:hAnsi="Calibri"/>
          <w:b w:val="0"/>
          <w:color w:val="2B2B2B"/>
          <w:sz w:val="22"/>
        </w:rPr>
        <w:t>comparison group, no measurement of student learning outcomes, no blinded assessment of material</w:t>
      </w:r>
    </w:p>
    <w:p>
      <w:r>
        <w:rPr>
          <w:rFonts w:ascii="Calibri" w:hAnsi="Calibri"/>
          <w:b w:val="0"/>
          <w:color w:val="2B2B2B"/>
          <w:sz w:val="22"/>
        </w:rPr>
        <w:t>quality, and no instrument measuring instructor time saved. Any of those would be a different and</w:t>
      </w:r>
    </w:p>
    <w:p>
      <w:r>
        <w:rPr>
          <w:rFonts w:ascii="Calibri" w:hAnsi="Calibri"/>
          <w:b w:val="0"/>
          <w:color w:val="2B2B2B"/>
          <w:sz w:val="22"/>
        </w:rPr>
        <w:t>more expensive study, and several of them are proposed as future work in Section 6.</w:t>
      </w:r>
    </w:p>
    <w:p>
      <w:r>
        <w:rPr>
          <w:rFonts w:ascii="Calibri" w:hAnsi="Calibri"/>
          <w:b w:val="0"/>
          <w:color w:val="2B2B2B"/>
          <w:sz w:val="22"/>
        </w:rPr>
        <w:t>Readers looking for a claim that this approach improves learning will not find one here, because the</w:t>
      </w:r>
    </w:p>
    <w:p>
      <w:r>
        <w:rPr>
          <w:rFonts w:ascii="Calibri" w:hAnsi="Calibri"/>
          <w:b w:val="0"/>
          <w:color w:val="2B2B2B"/>
          <w:sz w:val="22"/>
        </w:rPr>
        <w:t>data to support such a claim was not collected.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 BACKGROUND AND RELATED WORK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2.1 Generative AI in instructional design</w:t>
      </w:r>
    </w:p>
    <w:p>
      <w:r>
        <w:rPr>
          <w:rFonts w:ascii="Calibri" w:hAnsi="Calibri"/>
          <w:b w:val="0"/>
          <w:color w:val="2B2B2B"/>
          <w:sz w:val="22"/>
        </w:rPr>
        <w:t>The rapid adoption of generative assistants in higher education teaching practice has been</w:t>
      </w:r>
    </w:p>
    <w:p>
      <w:r>
        <w:rPr>
          <w:rFonts w:ascii="Calibri" w:hAnsi="Calibri"/>
          <w:b w:val="0"/>
          <w:color w:val="2B2B2B"/>
          <w:sz w:val="22"/>
        </w:rPr>
        <w:t>documented across disciplines, with most reported workflows following what may be called the</w:t>
      </w:r>
    </w:p>
    <w:p>
      <w:r>
        <w:rPr>
          <w:rFonts w:ascii="Calibri" w:hAnsi="Calibri"/>
          <w:i/>
          <w:color w:val="2B2B2B"/>
          <w:sz w:val="22"/>
        </w:rPr>
        <w:t>prompt-and-paste</w:t>
      </w:r>
      <w:r>
        <w:rPr>
          <w:rFonts w:ascii="Calibri" w:hAnsi="Calibri"/>
          <w:b w:val="0"/>
          <w:color w:val="2B2B2B"/>
          <w:sz w:val="22"/>
        </w:rPr>
        <w:t xml:space="preserve"> pattern: a natural-language request produces a draft, the instructor edits it,</w:t>
      </w:r>
    </w:p>
    <w:p>
      <w:r>
        <w:rPr>
          <w:rFonts w:ascii="Calibri" w:hAnsi="Calibri"/>
          <w:b w:val="0"/>
          <w:color w:val="2B2B2B"/>
          <w:sz w:val="22"/>
        </w:rPr>
        <w:t>and the result is saved as a document. The pattern's appeal is that it requires no infrastructure.</w:t>
      </w:r>
    </w:p>
    <w:p>
      <w:r>
        <w:rPr>
          <w:rFonts w:ascii="Calibri" w:hAnsi="Calibri"/>
          <w:b w:val="0"/>
          <w:color w:val="2B2B2B"/>
          <w:sz w:val="22"/>
        </w:rPr>
        <w:t>Its cost is that the generated document becomes the only record of its own content: there is no</w:t>
      </w:r>
    </w:p>
    <w:p>
      <w:r>
        <w:rPr>
          <w:rFonts w:ascii="Calibri" w:hAnsi="Calibri"/>
          <w:b w:val="0"/>
          <w:color w:val="2B2B2B"/>
          <w:sz w:val="22"/>
        </w:rPr>
        <w:t>separate, checkable statement of what the course's assessment weights actually are, against which</w:t>
      </w:r>
    </w:p>
    <w:p>
      <w:r>
        <w:rPr>
          <w:rFonts w:ascii="Calibri" w:hAnsi="Calibri"/>
          <w:b w:val="0"/>
          <w:color w:val="2B2B2B"/>
          <w:sz w:val="22"/>
        </w:rPr>
        <w:t>the document could be validated.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2.2 Single source of truth as a software discipline</w:t>
      </w:r>
    </w:p>
    <w:p>
      <w:r>
        <w:rPr>
          <w:rFonts w:ascii="Calibri" w:hAnsi="Calibri"/>
          <w:b w:val="0"/>
          <w:color w:val="2B2B2B"/>
          <w:sz w:val="22"/>
        </w:rPr>
        <w:t>The principle that each datum should have exactly one authoritative representation is old in data</w:t>
      </w:r>
    </w:p>
    <w:p>
      <w:r>
        <w:rPr>
          <w:rFonts w:ascii="Calibri" w:hAnsi="Calibri"/>
          <w:b w:val="0"/>
          <w:color w:val="2B2B2B"/>
          <w:sz w:val="22"/>
        </w:rPr>
        <w:t>management and in configuration management, where it is enforced to prevent update anomalies. Its</w:t>
      </w:r>
    </w:p>
    <w:p>
      <w:r>
        <w:rPr>
          <w:rFonts w:ascii="Calibri" w:hAnsi="Calibri"/>
          <w:b w:val="0"/>
          <w:color w:val="2B2B2B"/>
          <w:sz w:val="22"/>
        </w:rPr>
        <w:t>application to instructional material appears less often, perhaps because course documents are</w:t>
      </w:r>
    </w:p>
    <w:p>
      <w:r>
        <w:rPr>
          <w:rFonts w:ascii="Calibri" w:hAnsi="Calibri"/>
          <w:b w:val="0"/>
          <w:color w:val="2B2B2B"/>
          <w:sz w:val="22"/>
        </w:rPr>
        <w:t>usually authored by humans who are assumed to remember what they wrote. That assumption weakens</w:t>
      </w:r>
    </w:p>
    <w:p>
      <w:r>
        <w:rPr>
          <w:rFonts w:ascii="Calibri" w:hAnsi="Calibri"/>
          <w:b w:val="0"/>
          <w:color w:val="2B2B2B"/>
          <w:sz w:val="22"/>
        </w:rPr>
        <w:t>sharply when a non-remembering assistant is the one drafting, and weakens further when the same</w:t>
      </w:r>
    </w:p>
    <w:p>
      <w:r>
        <w:rPr>
          <w:rFonts w:ascii="Calibri" w:hAnsi="Calibri"/>
          <w:b w:val="0"/>
          <w:color w:val="2B2B2B"/>
          <w:sz w:val="22"/>
        </w:rPr>
        <w:t>facts must appear in a slide deck, a script, a learning-management-system configuration and an email.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2.3 Reproducible authoring pipelines</w:t>
      </w:r>
    </w:p>
    <w:p>
      <w:r>
        <w:rPr>
          <w:rFonts w:ascii="Calibri" w:hAnsi="Calibri"/>
          <w:b w:val="0"/>
          <w:color w:val="2B2B2B"/>
          <w:sz w:val="22"/>
        </w:rPr>
        <w:t>The practice of generating documents from data and templates rather than editing them by hand is</w:t>
      </w:r>
    </w:p>
    <w:p>
      <w:r>
        <w:rPr>
          <w:rFonts w:ascii="Calibri" w:hAnsi="Calibri"/>
          <w:b w:val="0"/>
          <w:color w:val="2B2B2B"/>
          <w:sz w:val="22"/>
        </w:rPr>
        <w:t>well established in reproducible research, where the motivation is that a figure should not be able</w:t>
      </w:r>
    </w:p>
    <w:p>
      <w:r>
        <w:rPr>
          <w:rFonts w:ascii="Calibri" w:hAnsi="Calibri"/>
          <w:b w:val="0"/>
          <w:color w:val="2B2B2B"/>
          <w:sz w:val="22"/>
        </w:rPr>
        <w:t>to disagree with the dataset that produced it. The architecture described here applies the same</w:t>
      </w:r>
    </w:p>
    <w:p>
      <w:r>
        <w:rPr>
          <w:rFonts w:ascii="Calibri" w:hAnsi="Calibri"/>
          <w:b w:val="0"/>
          <w:color w:val="2B2B2B"/>
          <w:sz w:val="22"/>
        </w:rPr>
        <w:t>motivation to a different artefact class: a slide deck should not be able to disagree with the</w:t>
      </w:r>
    </w:p>
    <w:p>
      <w:r>
        <w:rPr>
          <w:rFonts w:ascii="Calibri" w:hAnsi="Calibri"/>
          <w:b w:val="0"/>
          <w:color w:val="2B2B2B"/>
          <w:sz w:val="22"/>
        </w:rPr>
        <w:t>syllabus that produced 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 SYSTEM ARCHITECTURE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3.1 The layer separation</w:t>
      </w:r>
    </w:p>
    <w:p>
      <w:r>
        <w:rPr>
          <w:rFonts w:ascii="Calibri" w:hAnsi="Calibri"/>
          <w:b w:val="0"/>
          <w:color w:val="2B2B2B"/>
          <w:sz w:val="22"/>
        </w:rPr>
        <w:t>The system separates three layers that the prompt-and-paste pattern conflates: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Curricular fact.</w:t>
      </w:r>
      <w:r>
        <w:rPr>
          <w:rFonts w:ascii="Calibri" w:hAnsi="Calibri"/>
          <w:b w:val="0"/>
          <w:color w:val="2B2B2B"/>
          <w:sz w:val="22"/>
        </w:rPr>
        <w:t xml:space="preserve"> Course codes, session topics, credit hours, assessment components and their</w:t>
      </w:r>
    </w:p>
    <w:p>
      <w:r>
        <w:rPr>
          <w:rFonts w:ascii="Calibri" w:hAnsi="Calibri"/>
          <w:b w:val="0"/>
          <w:color w:val="2B2B2B"/>
          <w:sz w:val="22"/>
        </w:rPr>
        <w:t>weights, submission deadlines, group codes, institutional URLs and the instructor's contact data.</w:t>
      </w:r>
    </w:p>
    <w:p>
      <w:r>
        <w:rPr>
          <w:rFonts w:ascii="Calibri" w:hAnsi="Calibri"/>
          <w:b w:val="0"/>
          <w:color w:val="2B2B2B"/>
          <w:sz w:val="22"/>
        </w:rPr>
        <w:t>This layer is Python data in a version-controlled repository. It is the only place these values</w:t>
      </w:r>
    </w:p>
    <w:p>
      <w:r>
        <w:rPr>
          <w:rFonts w:ascii="Calibri" w:hAnsi="Calibri"/>
          <w:b w:val="0"/>
          <w:color w:val="2B2B2B"/>
          <w:sz w:val="22"/>
        </w:rPr>
        <w:t>exist. Nothing generated may contradict it, because everything generated reads from it.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Generation.</w:t>
      </w:r>
      <w:r>
        <w:rPr>
          <w:rFonts w:ascii="Calibri" w:hAnsi="Calibri"/>
          <w:b w:val="0"/>
          <w:color w:val="2B2B2B"/>
          <w:sz w:val="22"/>
        </w:rPr>
        <w:t xml:space="preserve"> Scripts that read layer 1 and emit deliverables: session scripts for the</w:t>
      </w:r>
    </w:p>
    <w:p>
      <w:r>
        <w:rPr>
          <w:rFonts w:ascii="Calibri" w:hAnsi="Calibri"/>
          <w:b w:val="0"/>
          <w:color w:val="2B2B2B"/>
          <w:sz w:val="22"/>
        </w:rPr>
        <w:t>instructor, slide decks, welcome emails, calendar-event automation, assessment configuration.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Prose and structure.</w:t>
      </w:r>
      <w:r>
        <w:rPr>
          <w:rFonts w:ascii="Calibri" w:hAnsi="Calibri"/>
          <w:b w:val="0"/>
          <w:color w:val="2B2B2B"/>
          <w:sz w:val="22"/>
        </w:rPr>
        <w:t xml:space="preserve"> The layer where a generative assistant is used: phrasing an explanation,</w:t>
      </w:r>
    </w:p>
    <w:p>
      <w:r>
        <w:rPr>
          <w:rFonts w:ascii="Calibri" w:hAnsi="Calibri"/>
          <w:b w:val="0"/>
          <w:color w:val="2B2B2B"/>
          <w:sz w:val="22"/>
        </w:rPr>
        <w:t xml:space="preserve">organising a session's arc, drafting feedback. The assistant operates </w:t>
      </w:r>
      <w:r>
        <w:rPr>
          <w:rFonts w:ascii="Calibri" w:hAnsi="Calibri"/>
          <w:i/>
          <w:color w:val="2B2B2B"/>
          <w:sz w:val="22"/>
        </w:rPr>
        <w:t>within</w:t>
      </w:r>
      <w:r>
        <w:rPr>
          <w:rFonts w:ascii="Calibri" w:hAnsi="Calibri"/>
          <w:b w:val="0"/>
          <w:color w:val="2B2B2B"/>
          <w:sz w:val="22"/>
        </w:rPr>
        <w:t xml:space="preserve"> this layer and is</w:t>
      </w:r>
    </w:p>
    <w:p>
      <w:r>
        <w:rPr>
          <w:rFonts w:ascii="Calibri" w:hAnsi="Calibri"/>
          <w:b w:val="0"/>
          <w:color w:val="2B2B2B"/>
          <w:sz w:val="22"/>
        </w:rPr>
        <w:t>given layer 1 as read-only context.</w:t>
      </w:r>
    </w:p>
    <w:p>
      <w:r>
        <w:rPr>
          <w:rFonts w:ascii="Calibri" w:hAnsi="Calibri"/>
          <w:b w:val="0"/>
          <w:color w:val="2B2B2B"/>
          <w:sz w:val="22"/>
        </w:rPr>
        <w:t>The consequence that matters: a deadline cannot be wrong in the slide deck and right in the email,</w:t>
      </w:r>
    </w:p>
    <w:p>
      <w:r>
        <w:rPr>
          <w:rFonts w:ascii="Calibri" w:hAnsi="Calibri"/>
          <w:b w:val="0"/>
          <w:color w:val="2B2B2B"/>
          <w:sz w:val="22"/>
        </w:rPr>
        <w:t>because neither document contains a deadline. Both contain a reference that is resolved at</w:t>
      </w:r>
    </w:p>
    <w:p>
      <w:r>
        <w:rPr>
          <w:rFonts w:ascii="Calibri" w:hAnsi="Calibri"/>
          <w:b w:val="0"/>
          <w:color w:val="2B2B2B"/>
          <w:sz w:val="22"/>
        </w:rPr>
        <w:t>generation time from a single value.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3.2 Coverage</w:t>
      </w:r>
    </w:p>
    <w:p>
      <w:r>
        <w:rPr>
          <w:rFonts w:ascii="Calibri" w:hAnsi="Calibri"/>
          <w:b w:val="0"/>
          <w:color w:val="2B2B2B"/>
          <w:sz w:val="22"/>
        </w:rPr>
        <w:t xml:space="preserve">At the time of writing the system covers </w:t>
      </w:r>
      <w:r>
        <w:rPr>
          <w:rFonts w:ascii="Calibri" w:hAnsi="Calibri"/>
          <w:b/>
          <w:color w:val="2B2B2B"/>
          <w:sz w:val="22"/>
        </w:rPr>
        <w:t>five courses</w:t>
      </w:r>
      <w:r>
        <w:rPr>
          <w:rFonts w:ascii="Calibri" w:hAnsi="Calibri"/>
          <w:b w:val="0"/>
          <w:color w:val="2B2B2B"/>
          <w:sz w:val="22"/>
        </w:rPr>
        <w:t xml:space="preserve"> — one graduate (Project I, Specialisation</w:t>
      </w:r>
    </w:p>
    <w:p>
      <w:r>
        <w:rPr>
          <w:rFonts w:ascii="Calibri" w:hAnsi="Calibri"/>
          <w:b w:val="0"/>
          <w:color w:val="2B2B2B"/>
          <w:sz w:val="22"/>
        </w:rPr>
        <w:t>in Artificial Intelligence) and four undergraduate (Research in Science and Technology; Creativity</w:t>
      </w:r>
    </w:p>
    <w:p>
      <w:r>
        <w:rPr>
          <w:rFonts w:ascii="Calibri" w:hAnsi="Calibri"/>
          <w:b w:val="0"/>
          <w:color w:val="2B2B2B"/>
          <w:sz w:val="22"/>
        </w:rPr>
        <w:t xml:space="preserve">and Innovative Thinking; Degree Project 2; Degree Project 3) — comprising </w:t>
      </w:r>
      <w:r>
        <w:rPr>
          <w:rFonts w:ascii="Calibri" w:hAnsi="Calibri"/>
          <w:b/>
          <w:color w:val="2B2B2B"/>
          <w:sz w:val="22"/>
        </w:rPr>
        <w:t>50 planned sessions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>Each course's official syllabus, where the institution has provided one, is parsed directly from the</w:t>
      </w:r>
    </w:p>
    <w:p>
      <w:r>
        <w:rPr>
          <w:rFonts w:ascii="Calibri" w:hAnsi="Calibri"/>
          <w:b w:val="0"/>
          <w:color w:val="2B2B2B"/>
          <w:sz w:val="22"/>
        </w:rPr>
        <w:t>institutional document rather than transcribed, so that the topic list in the generated material is</w:t>
      </w:r>
    </w:p>
    <w:p>
      <w:r>
        <w:rPr>
          <w:rFonts w:ascii="Calibri" w:hAnsi="Calibri"/>
          <w:b w:val="0"/>
          <w:color w:val="2B2B2B"/>
          <w:sz w:val="22"/>
        </w:rPr>
        <w:t>traceable to the source.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3.3 Syllabus parsing as a design constraint</w:t>
      </w:r>
    </w:p>
    <w:p>
      <w:r>
        <w:rPr>
          <w:rFonts w:ascii="Calibri" w:hAnsi="Calibri"/>
          <w:b w:val="0"/>
          <w:color w:val="2B2B2B"/>
          <w:sz w:val="22"/>
        </w:rPr>
        <w:t xml:space="preserve">A design decision worth reporting is that the syllabus reader </w:t>
      </w:r>
      <w:r>
        <w:rPr>
          <w:rFonts w:ascii="Calibri" w:hAnsi="Calibri"/>
          <w:b/>
          <w:color w:val="2B2B2B"/>
          <w:sz w:val="22"/>
        </w:rPr>
        <w:t>refuses to invent</w:t>
      </w:r>
      <w:r>
        <w:rPr>
          <w:rFonts w:ascii="Calibri" w:hAnsi="Calibri"/>
          <w:b w:val="0"/>
          <w:color w:val="2B2B2B"/>
          <w:sz w:val="22"/>
        </w:rPr>
        <w:t>. When an</w:t>
      </w:r>
    </w:p>
    <w:p>
      <w:r>
        <w:rPr>
          <w:rFonts w:ascii="Calibri" w:hAnsi="Calibri"/>
          <w:b w:val="0"/>
          <w:color w:val="2B2B2B"/>
          <w:sz w:val="22"/>
        </w:rPr>
        <w:t>institution had not delivered the official syllabus for one course, the module returned an explicit</w:t>
      </w:r>
    </w:p>
    <w:p>
      <w:r>
        <w:rPr>
          <w:rFonts w:ascii="Calibri" w:hAnsi="Calibri"/>
          <w:b w:val="0"/>
          <w:color w:val="2B2B2B"/>
          <w:sz w:val="22"/>
        </w:rPr>
        <w:t>"no syllabus available" state with a note, rather than a plausible topic list inferred by analogy</w:t>
      </w:r>
    </w:p>
    <w:p>
      <w:r>
        <w:rPr>
          <w:rFonts w:ascii="Calibri" w:hAnsi="Calibri"/>
          <w:b w:val="0"/>
          <w:color w:val="2B2B2B"/>
          <w:sz w:val="22"/>
        </w:rPr>
        <w:t>with a sibling course. Generated material for that course carried the gap visibly. When the missing</w:t>
      </w:r>
    </w:p>
    <w:p>
      <w:r>
        <w:rPr>
          <w:rFonts w:ascii="Calibri" w:hAnsi="Calibri"/>
          <w:b w:val="0"/>
          <w:color w:val="2B2B2B"/>
          <w:sz w:val="22"/>
        </w:rPr>
        <w:t>syllabus was later delivered, it turned out to use a document structure different from both formats</w:t>
      </w:r>
    </w:p>
    <w:p>
      <w:r>
        <w:rPr>
          <w:rFonts w:ascii="Calibri" w:hAnsi="Calibri"/>
          <w:b w:val="0"/>
          <w:color w:val="2B2B2B"/>
          <w:sz w:val="22"/>
        </w:rPr>
        <w:t>the parser knew — an undergraduate institutional shell containing a graduate-style unit table — and</w:t>
      </w:r>
    </w:p>
    <w:p>
      <w:r>
        <w:rPr>
          <w:rFonts w:ascii="Calibri" w:hAnsi="Calibri"/>
          <w:b w:val="0"/>
          <w:color w:val="2B2B2B"/>
          <w:sz w:val="22"/>
        </w:rPr>
        <w:t>the parser had to be extended rather than the document reinterpreted. Had the system filled the gap</w:t>
      </w:r>
    </w:p>
    <w:p>
      <w:r>
        <w:rPr>
          <w:rFonts w:ascii="Calibri" w:hAnsi="Calibri"/>
          <w:b w:val="0"/>
          <w:color w:val="2B2B2B"/>
          <w:sz w:val="22"/>
        </w:rPr>
        <w:t>by inference, the discrepancy would never have surfaced.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 SAFETY PATTERNS THAT EMERGED FROM FAILURE</w:t>
      </w:r>
    </w:p>
    <w:p>
      <w:r>
        <w:rPr>
          <w:rFonts w:ascii="Calibri" w:hAnsi="Calibri"/>
          <w:b w:val="0"/>
          <w:color w:val="2B2B2B"/>
          <w:sz w:val="22"/>
        </w:rPr>
        <w:t>The four patterns below were not designed in advance. Each was added after an operational failure,</w:t>
      </w:r>
    </w:p>
    <w:p>
      <w:r>
        <w:rPr>
          <w:rFonts w:ascii="Calibri" w:hAnsi="Calibri"/>
          <w:b w:val="0"/>
          <w:color w:val="2B2B2B"/>
          <w:sz w:val="22"/>
        </w:rPr>
        <w:t>and each is reported here with the failure that motivated it, because the failure is the evidence.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4.1 Dry-run-first ordering</w:t>
      </w:r>
    </w:p>
    <w:p>
      <w:r>
        <w:rPr>
          <w:rFonts w:ascii="Calibri" w:hAnsi="Calibri"/>
          <w:b w:val="0"/>
          <w:color w:val="2B2B2B"/>
          <w:sz w:val="22"/>
        </w:rPr>
        <w:t>Any operation that writes to a system outside the repository — a learning management system, a</w:t>
      </w:r>
    </w:p>
    <w:p>
      <w:r>
        <w:rPr>
          <w:rFonts w:ascii="Calibri" w:hAnsi="Calibri"/>
          <w:b w:val="0"/>
          <w:color w:val="2B2B2B"/>
          <w:sz w:val="22"/>
        </w:rPr>
        <w:t>student's shared document, a calendar — is implemented as an ordered sequence in which the</w:t>
      </w:r>
    </w:p>
    <w:p>
      <w:r>
        <w:rPr>
          <w:rFonts w:ascii="Calibri" w:hAnsi="Calibri"/>
          <w:b w:val="0"/>
          <w:color w:val="2B2B2B"/>
          <w:sz w:val="22"/>
        </w:rPr>
        <w:t>non-writing modes come first and the writing mode requires an explicit confirmation flag. The</w:t>
      </w:r>
    </w:p>
    <w:p>
      <w:r>
        <w:rPr>
          <w:rFonts w:ascii="Calibri" w:hAnsi="Calibri"/>
          <w:b w:val="0"/>
          <w:color w:val="2B2B2B"/>
          <w:sz w:val="22"/>
        </w:rPr>
        <w:t>motivating failure was a batch operation that was correct in intent and wrong in target.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4.2 Machine-readable receipts</w:t>
      </w:r>
    </w:p>
    <w:p>
      <w:r>
        <w:rPr>
          <w:rFonts w:ascii="Calibri" w:hAnsi="Calibri"/>
          <w:b w:val="0"/>
          <w:color w:val="2B2B2B"/>
          <w:sz w:val="22"/>
        </w:rPr>
        <w:t>When the system writes to an external service, it records what it wrote in a structured file. The</w:t>
      </w:r>
    </w:p>
    <w:p>
      <w:r>
        <w:rPr>
          <w:rFonts w:ascii="Calibri" w:hAnsi="Calibri"/>
          <w:b w:val="0"/>
          <w:color w:val="2B2B2B"/>
          <w:sz w:val="22"/>
        </w:rPr>
        <w:t>motivating failure was the inability to distinguish the system's own output from a human</w:t>
      </w:r>
    </w:p>
    <w:p>
      <w:r>
        <w:rPr>
          <w:rFonts w:ascii="Calibri" w:hAnsi="Calibri"/>
          <w:b w:val="0"/>
          <w:color w:val="2B2B2B"/>
          <w:sz w:val="22"/>
        </w:rPr>
        <w:t>collaborator's when both appeared in the same external document; without a receipt there is no</w:t>
      </w:r>
    </w:p>
    <w:p>
      <w:r>
        <w:rPr>
          <w:rFonts w:ascii="Calibri" w:hAnsi="Calibri"/>
          <w:b w:val="0"/>
          <w:color w:val="2B2B2B"/>
          <w:sz w:val="22"/>
        </w:rPr>
        <w:t>principled way to undo only one's own changes.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4.3 Verification by export, not by screen</w:t>
      </w:r>
    </w:p>
    <w:p>
      <w:r>
        <w:rPr>
          <w:rFonts w:ascii="Calibri" w:hAnsi="Calibri"/>
          <w:b w:val="0"/>
          <w:color w:val="2B2B2B"/>
          <w:sz w:val="22"/>
        </w:rPr>
        <w:t>Operations whose result is rendered by a third-party application are verified by exporting the</w:t>
      </w:r>
    </w:p>
    <w:p>
      <w:r>
        <w:rPr>
          <w:rFonts w:ascii="Calibri" w:hAnsi="Calibri"/>
          <w:b w:val="0"/>
          <w:color w:val="2B2B2B"/>
          <w:sz w:val="22"/>
        </w:rPr>
        <w:t>resulting document and inspecting its serialised form, rather than by reading the application's own</w:t>
      </w:r>
    </w:p>
    <w:p>
      <w:r>
        <w:rPr>
          <w:rFonts w:ascii="Calibri" w:hAnsi="Calibri"/>
          <w:b w:val="0"/>
          <w:color w:val="2B2B2B"/>
          <w:sz w:val="22"/>
        </w:rPr>
        <w:t>display. The motivating failure was an interface that reported a save as successful while the</w:t>
      </w:r>
    </w:p>
    <w:p>
      <w:r>
        <w:rPr>
          <w:rFonts w:ascii="Calibri" w:hAnsi="Calibri"/>
          <w:b w:val="0"/>
          <w:color w:val="2B2B2B"/>
          <w:sz w:val="22"/>
        </w:rPr>
        <w:t>underlying record remained empty — a discrepancy invisible on screen and unmistakable in the</w:t>
      </w:r>
    </w:p>
    <w:p>
      <w:r>
        <w:rPr>
          <w:rFonts w:ascii="Calibri" w:hAnsi="Calibri"/>
          <w:b w:val="0"/>
          <w:color w:val="2B2B2B"/>
          <w:sz w:val="22"/>
        </w:rPr>
        <w:t>exported data.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4.4 Single-writer discipline</w:t>
      </w:r>
    </w:p>
    <w:p>
      <w:r>
        <w:rPr>
          <w:rFonts w:ascii="Calibri" w:hAnsi="Calibri"/>
          <w:b w:val="0"/>
          <w:color w:val="2B2B2B"/>
          <w:sz w:val="22"/>
        </w:rPr>
        <w:t>When several generation processes run concurrently, exactly one is permitted to write to any given</w:t>
      </w:r>
    </w:p>
    <w:p>
      <w:r>
        <w:rPr>
          <w:rFonts w:ascii="Calibri" w:hAnsi="Calibri"/>
          <w:b w:val="0"/>
          <w:color w:val="2B2B2B"/>
          <w:sz w:val="22"/>
        </w:rPr>
        <w:t>output file; the others return data. The motivating failure was two processes editing the same</w:t>
      </w:r>
    </w:p>
    <w:p>
      <w:r>
        <w:rPr>
          <w:rFonts w:ascii="Calibri" w:hAnsi="Calibri"/>
          <w:b w:val="0"/>
          <w:color w:val="2B2B2B"/>
          <w:sz w:val="22"/>
        </w:rPr>
        <w:t>document and silently overwriting each other's changes.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 DISCUSSION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5.1 What the architecture prevents, and what it does not</w:t>
      </w:r>
    </w:p>
    <w:p>
      <w:r>
        <w:rPr>
          <w:rFonts w:ascii="Calibri" w:hAnsi="Calibri"/>
          <w:b w:val="0"/>
          <w:color w:val="2B2B2B"/>
          <w:sz w:val="22"/>
        </w:rPr>
        <w:t>The arrangement reliably prevents one class of error: **divergence of a curricular fact across</w:t>
      </w:r>
    </w:p>
    <w:p>
      <w:r>
        <w:rPr>
          <w:rFonts w:ascii="Calibri" w:hAnsi="Calibri"/>
          <w:b w:val="0"/>
          <w:color w:val="2B2B2B"/>
          <w:sz w:val="22"/>
        </w:rPr>
        <w:t>generated documents**. This follows from construction rather than from vigilance, which is the point.</w:t>
      </w:r>
    </w:p>
    <w:p>
      <w:r>
        <w:rPr>
          <w:rFonts w:ascii="Calibri" w:hAnsi="Calibri"/>
          <w:b w:val="0"/>
          <w:color w:val="2B2B2B"/>
          <w:sz w:val="22"/>
        </w:rPr>
        <w:t xml:space="preserve">It does </w:t>
      </w:r>
      <w:r>
        <w:rPr>
          <w:rFonts w:ascii="Calibri" w:hAnsi="Calibri"/>
          <w:b/>
          <w:color w:val="2B2B2B"/>
          <w:sz w:val="22"/>
        </w:rPr>
        <w:t>not</w:t>
      </w:r>
      <w:r>
        <w:rPr>
          <w:rFonts w:ascii="Calibri" w:hAnsi="Calibri"/>
          <w:b w:val="0"/>
          <w:color w:val="2B2B2B"/>
          <w:sz w:val="22"/>
        </w:rPr>
        <w:t xml:space="preserve"> prevent several other classes, and it is important to state them: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Wrong facts entered correctly.</w:t>
      </w:r>
      <w:r>
        <w:rPr>
          <w:rFonts w:ascii="Calibri" w:hAnsi="Calibri"/>
          <w:b w:val="0"/>
          <w:color w:val="2B2B2B"/>
          <w:sz w:val="22"/>
        </w:rPr>
        <w:t xml:space="preserve"> If an assessment weight is entered incorrectly in layer 1, it</w:t>
      </w:r>
    </w:p>
    <w:p>
      <w:r>
        <w:rPr>
          <w:rFonts w:ascii="Calibri" w:hAnsi="Calibri"/>
          <w:b w:val="0"/>
          <w:color w:val="2B2B2B"/>
          <w:sz w:val="22"/>
        </w:rPr>
        <w:t>will be propagated consistently and wrongly to every artefact. The architecture guarantees</w:t>
      </w:r>
    </w:p>
    <w:p>
      <w:r>
        <w:rPr>
          <w:rFonts w:ascii="Calibri" w:hAnsi="Calibri"/>
          <w:b w:val="0"/>
          <w:color w:val="2B2B2B"/>
          <w:sz w:val="22"/>
        </w:rPr>
        <w:t>agreement, not truth.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Prose that is fluent and mistaken.</w:t>
      </w:r>
      <w:r>
        <w:rPr>
          <w:rFonts w:ascii="Calibri" w:hAnsi="Calibri"/>
          <w:b w:val="0"/>
          <w:color w:val="2B2B2B"/>
          <w:sz w:val="22"/>
        </w:rPr>
        <w:t xml:space="preserve"> The assistant's contribution to layer 3 is not validated by</w:t>
      </w:r>
    </w:p>
    <w:p>
      <w:r>
        <w:rPr>
          <w:rFonts w:ascii="Calibri" w:hAnsi="Calibri"/>
          <w:b w:val="0"/>
          <w:color w:val="2B2B2B"/>
          <w:sz w:val="22"/>
        </w:rPr>
        <w:t>the architecture. A conceptually wrong explanation, expressed clearly, passes through.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Institutional drift.</w:t>
      </w:r>
      <w:r>
        <w:rPr>
          <w:rFonts w:ascii="Calibri" w:hAnsi="Calibri"/>
          <w:b w:val="0"/>
          <w:color w:val="2B2B2B"/>
          <w:sz w:val="22"/>
        </w:rPr>
        <w:t xml:space="preserve"> When the institution changes a deadline without notifying the instructor,</w:t>
      </w:r>
    </w:p>
    <w:p>
      <w:r>
        <w:rPr>
          <w:rFonts w:ascii="Calibri" w:hAnsi="Calibri"/>
          <w:b w:val="0"/>
          <w:color w:val="2B2B2B"/>
          <w:sz w:val="22"/>
        </w:rPr>
        <w:t>the repository becomes confidently out of date.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5.2 The cost side</w:t>
      </w:r>
    </w:p>
    <w:p>
      <w:r>
        <w:rPr>
          <w:rFonts w:ascii="Calibri" w:hAnsi="Calibri"/>
          <w:b w:val="0"/>
          <w:color w:val="2B2B2B"/>
          <w:sz w:val="22"/>
        </w:rPr>
        <w:t>The arrangement is not free. It requires the instructor to be able to read and modify Python, to</w:t>
      </w:r>
    </w:p>
    <w:p>
      <w:r>
        <w:rPr>
          <w:rFonts w:ascii="Calibri" w:hAnsi="Calibri"/>
          <w:b w:val="0"/>
          <w:color w:val="2B2B2B"/>
          <w:sz w:val="22"/>
        </w:rPr>
        <w:t>maintain a repository, and to accept that a change to a shared value requires regenerating the</w:t>
      </w:r>
    </w:p>
    <w:p>
      <w:r>
        <w:rPr>
          <w:rFonts w:ascii="Calibri" w:hAnsi="Calibri"/>
          <w:b w:val="0"/>
          <w:color w:val="2B2B2B"/>
          <w:sz w:val="22"/>
        </w:rPr>
        <w:t>artefacts that depend on it. For an instructor teaching one course, the overhead very likely exceeds</w:t>
      </w:r>
    </w:p>
    <w:p>
      <w:r>
        <w:rPr>
          <w:rFonts w:ascii="Calibri" w:hAnsi="Calibri"/>
          <w:b w:val="0"/>
          <w:color w:val="2B2B2B"/>
          <w:sz w:val="22"/>
        </w:rPr>
        <w:t>the benefit. The break-even point is not measured here; identifying it is future work.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5.3 Threats to the validity of this report</w:t>
      </w:r>
    </w:p>
    <w:p>
      <w:r>
        <w:rPr>
          <w:rFonts w:ascii="Calibri" w:hAnsi="Calibri"/>
          <w:b w:val="0"/>
          <w:color w:val="2B2B2B"/>
          <w:sz w:val="22"/>
        </w:rPr>
        <w:t>The most serious threat is that the author is simultaneously the designer, the operator and the</w:t>
      </w:r>
    </w:p>
    <w:p>
      <w:r>
        <w:rPr>
          <w:rFonts w:ascii="Calibri" w:hAnsi="Calibri"/>
          <w:b w:val="0"/>
          <w:color w:val="2B2B2B"/>
          <w:sz w:val="22"/>
        </w:rPr>
        <w:t>reporter of the system, with an evident interest in its appearing worthwhile. No independent party</w:t>
      </w:r>
    </w:p>
    <w:p>
      <w:r>
        <w:rPr>
          <w:rFonts w:ascii="Calibri" w:hAnsi="Calibri"/>
          <w:b w:val="0"/>
          <w:color w:val="2B2B2B"/>
          <w:sz w:val="22"/>
        </w:rPr>
        <w:t>audited the material, and no student was surveyed. A second threat is that a single term in a single</w:t>
      </w:r>
    </w:p>
    <w:p>
      <w:r>
        <w:rPr>
          <w:rFonts w:ascii="Calibri" w:hAnsi="Calibri"/>
          <w:b w:val="0"/>
          <w:color w:val="2B2B2B"/>
          <w:sz w:val="22"/>
        </w:rPr>
        <w:t>institution may not generalise: the institution's document formats, its learning management system</w:t>
      </w:r>
    </w:p>
    <w:p>
      <w:r>
        <w:rPr>
          <w:rFonts w:ascii="Calibri" w:hAnsi="Calibri"/>
          <w:b w:val="0"/>
          <w:color w:val="2B2B2B"/>
          <w:sz w:val="22"/>
        </w:rPr>
        <w:t>and its administrative calendar are all specific.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6. CONCLUSIONS AND FUTURE WORK</w:t>
      </w:r>
    </w:p>
    <w:p>
      <w:r>
        <w:rPr>
          <w:rFonts w:ascii="Calibri" w:hAnsi="Calibri"/>
          <w:b w:val="0"/>
          <w:color w:val="2B2B2B"/>
          <w:sz w:val="22"/>
        </w:rPr>
        <w:t>We have described an architecture in which a generative assistant contributes prose and structure to</w:t>
      </w:r>
    </w:p>
    <w:p>
      <w:r>
        <w:rPr>
          <w:rFonts w:ascii="Calibri" w:hAnsi="Calibri"/>
          <w:b w:val="0"/>
          <w:color w:val="2B2B2B"/>
          <w:sz w:val="22"/>
        </w:rPr>
        <w:t>course material while being structurally prevented from being the custodian of curricular fact, and</w:t>
      </w:r>
    </w:p>
    <w:p>
      <w:r>
        <w:rPr>
          <w:rFonts w:ascii="Calibri" w:hAnsi="Calibri"/>
          <w:b w:val="0"/>
          <w:color w:val="2B2B2B"/>
          <w:sz w:val="22"/>
        </w:rPr>
        <w:t>we have reported four safety patterns that emerged from operational failure rather than from design.</w:t>
      </w:r>
    </w:p>
    <w:p>
      <w:r>
        <w:rPr>
          <w:rFonts w:ascii="Calibri" w:hAnsi="Calibri"/>
          <w:b w:val="0"/>
          <w:color w:val="2B2B2B"/>
          <w:sz w:val="22"/>
        </w:rPr>
        <w:t>The system covers five courses and fifty planned sessions in one institution over one term.</w:t>
      </w:r>
    </w:p>
    <w:p>
      <w:r>
        <w:rPr>
          <w:rFonts w:ascii="Calibri" w:hAnsi="Calibri"/>
          <w:b w:val="0"/>
          <w:color w:val="2B2B2B"/>
          <w:sz w:val="22"/>
        </w:rPr>
        <w:t>We deliberately make no claim about learning outcomes, material quality or time saved, because the</w:t>
      </w:r>
    </w:p>
    <w:p>
      <w:r>
        <w:rPr>
          <w:rFonts w:ascii="Calibri" w:hAnsi="Calibri"/>
          <w:b w:val="0"/>
          <w:color w:val="2B2B2B"/>
          <w:sz w:val="22"/>
        </w:rPr>
        <w:t>corresponding measurements were not taken.</w:t>
      </w:r>
    </w:p>
    <w:p>
      <w:r>
        <w:rPr>
          <w:rFonts w:ascii="Calibri" w:hAnsi="Calibri"/>
          <w:b w:val="0"/>
          <w:color w:val="2B2B2B"/>
          <w:sz w:val="22"/>
        </w:rPr>
        <w:t>Three studies would test what this report can only assert: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blinded quality comparison</w:t>
      </w:r>
      <w:r>
        <w:rPr>
          <w:rFonts w:ascii="Calibri" w:hAnsi="Calibri"/>
          <w:b w:val="0"/>
          <w:color w:val="2B2B2B"/>
          <w:sz w:val="22"/>
        </w:rPr>
        <w:t xml:space="preserve"> in which instructors unaware of provenance rate material</w:t>
      </w:r>
    </w:p>
    <w:p>
      <w:r>
        <w:rPr>
          <w:rFonts w:ascii="Calibri" w:hAnsi="Calibri"/>
          <w:b w:val="0"/>
          <w:color w:val="2B2B2B"/>
          <w:sz w:val="22"/>
        </w:rPr>
        <w:t>generated under this architecture against material produced by prompt-and-paste.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consistency audit</w:t>
      </w:r>
      <w:r>
        <w:rPr>
          <w:rFonts w:ascii="Calibri" w:hAnsi="Calibri"/>
          <w:b w:val="0"/>
          <w:color w:val="2B2B2B"/>
          <w:sz w:val="22"/>
        </w:rPr>
        <w:t xml:space="preserve"> measuring, across a corpus of course documents from instructors not using</w:t>
      </w:r>
    </w:p>
    <w:p>
      <w:r>
        <w:rPr>
          <w:rFonts w:ascii="Calibri" w:hAnsi="Calibri"/>
          <w:b w:val="0"/>
          <w:color w:val="2B2B2B"/>
          <w:sz w:val="22"/>
        </w:rPr>
        <w:t>the system, how frequently the divergence failure this architecture prevents actually occurs.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cost study</w:t>
      </w:r>
      <w:r>
        <w:rPr>
          <w:rFonts w:ascii="Calibri" w:hAnsi="Calibri"/>
          <w:b w:val="0"/>
          <w:color w:val="2B2B2B"/>
          <w:sz w:val="22"/>
        </w:rPr>
        <w:t xml:space="preserve"> establishing the number of courses at which the maintenance overhead is repaid.</w:t>
      </w:r>
    </w:p>
    <w:p>
      <w:r>
        <w:rPr>
          <w:rFonts w:ascii="Calibri" w:hAnsi="Calibri"/>
          <w:b w:val="0"/>
          <w:color w:val="2B2B2B"/>
          <w:sz w:val="22"/>
        </w:rPr>
        <w:t>Until those are done, the honest summary is architectural: if an assistant is going to draft your</w:t>
      </w:r>
    </w:p>
    <w:p>
      <w:r>
        <w:rPr>
          <w:rFonts w:ascii="Calibri" w:hAnsi="Calibri"/>
          <w:b w:val="0"/>
          <w:color w:val="2B2B2B"/>
          <w:sz w:val="22"/>
        </w:rPr>
        <w:t>teaching material, decide first where the authoritative copy of each curricular fact will live, and</w:t>
      </w:r>
    </w:p>
    <w:p>
      <w:r>
        <w:rPr>
          <w:rFonts w:ascii="Calibri" w:hAnsi="Calibri"/>
          <w:b w:val="0"/>
          <w:color w:val="2B2B2B"/>
          <w:sz w:val="22"/>
        </w:rPr>
        <w:t>do not let that place be the draft.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This work received no funding.</w:t>
      </w:r>
      <w:r>
        <w:rPr>
          <w:rFonts w:ascii="Calibri" w:hAnsi="Calibri"/>
          <w:b w:val="0"/>
          <w:color w:val="2B2B2B"/>
          <w:sz w:val="22"/>
        </w:rPr>
      </w:r>
    </w:p>
    <w:p>
      <w:r>
        <w:rPr>
          <w:rFonts w:ascii="Calibri" w:hAnsi="Calibri"/>
          <w:b w:val="0"/>
          <w:color w:val="2B2B2B"/>
          <w:sz w:val="22"/>
        </w:rPr>
        <w:t>This work received no funding.</w:t>
      </w:r>
    </w:p>
    <w:p>
      <w:r>
        <w:rPr>
          <w:rFonts w:ascii="Calibri" w:hAnsi="Calibri"/>
          <w:b w:val="0"/>
          <w:color w:val="2B2B2B"/>
          <w:sz w:val="22"/>
        </w:rPr>
        <w:t>separate title page.)*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design and implementation of the system, drafting and</w:t>
      </w:r>
    </w:p>
    <w:p>
      <w:r>
        <w:rPr>
          <w:rFonts w:ascii="Calibri" w:hAnsi="Calibri"/>
          <w:b w:val="0"/>
          <w:color w:val="2B2B2B"/>
          <w:sz w:val="22"/>
        </w:rPr>
        <w:t>revision: the single signing author.</w:t>
      </w:r>
    </w:p>
    <w:p>
      <w:r>
        <w:rPr>
          <w:rFonts w:ascii="Calibri" w:hAnsi="Calibri"/>
          <w:b/>
          <w:color w:val="2B2B2B"/>
          <w:sz w:val="22"/>
        </w:rPr>
        <w:t>Conflict of interest.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</w:t>
      </w:r>
    </w:p>
    <w:p>
      <w:r>
        <w:rPr>
          <w:rFonts w:ascii="Calibri" w:hAnsi="Calibri"/>
          <w:b/>
          <w:color w:val="2B2B2B"/>
          <w:sz w:val="22"/>
        </w:rPr>
        <w:t>Declaration on the use of Artificial Intelligence.</w:t>
      </w:r>
      <w:r>
        <w:rPr>
          <w:rFonts w:ascii="Calibri" w:hAnsi="Calibri"/>
          <w:b w:val="0"/>
          <w:color w:val="2B2B2B"/>
          <w:sz w:val="22"/>
        </w:rPr>
        <w:t xml:space="preserve"> The system described in this report uses</w:t>
      </w:r>
    </w:p>
    <w:p>
      <w:r>
        <w:rPr>
          <w:rFonts w:ascii="Calibri" w:hAnsi="Calibri"/>
          <w:b w:val="0"/>
          <w:color w:val="2B2B2B"/>
          <w:sz w:val="22"/>
        </w:rPr>
        <w:t>generative AI assistants as an operational component; that use is the object of study and is</w:t>
      </w:r>
    </w:p>
    <w:p>
      <w:r>
        <w:rPr>
          <w:rFonts w:ascii="Calibri" w:hAnsi="Calibri"/>
          <w:b w:val="0"/>
          <w:color w:val="2B2B2B"/>
          <w:sz w:val="22"/>
        </w:rPr>
        <w:t>documented in the body of the paper. In the preparation of the manuscript itself, AI assistants were</w:t>
      </w:r>
    </w:p>
    <w:p>
      <w:r>
        <w:rPr>
          <w:rFonts w:ascii="Calibri" w:hAnsi="Calibri"/>
          <w:b w:val="0"/>
          <w:color w:val="2B2B2B"/>
          <w:sz w:val="22"/>
        </w:rPr>
        <w:t>used for bibliographic search support and for drafting and editing. No tool generated data, results</w:t>
      </w:r>
    </w:p>
    <w:p>
      <w:r>
        <w:rPr>
          <w:rFonts w:ascii="Calibri" w:hAnsi="Calibri"/>
          <w:b w:val="0"/>
          <w:color w:val="2B2B2B"/>
          <w:sz w:val="22"/>
        </w:rPr>
        <w:t>or references that were not individually verified by the author, who assumes full responsibility for</w:t>
      </w:r>
    </w:p>
    <w:p>
      <w:r>
        <w:rPr>
          <w:rFonts w:ascii="Calibri" w:hAnsi="Calibri"/>
          <w:b w:val="0"/>
          <w:color w:val="2B2B2B"/>
          <w:sz w:val="22"/>
        </w:rPr>
        <w:t>the content.</w:t>
      </w:r>
    </w:p>
    <w:p>
      <w:r>
        <w:rPr>
          <w:rFonts w:ascii="Calibri" w:hAnsi="Calibri"/>
          <w:b/>
          <w:color w:val="2B2B2B"/>
          <w:sz w:val="22"/>
        </w:rPr>
        <w:t>Personal data.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 identifying data of any student.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REFERENCES</w:t>
      </w:r>
    </w:p>
    <w:p>
      <w:r>
        <w:rPr>
          <w:rFonts w:ascii="Calibri" w:hAnsi="Calibri"/>
          <w:b w:val="0"/>
          <w:color w:val="2B2B2B"/>
          <w:sz w:val="22"/>
        </w:rPr>
        <w:t>*Note on digital identifiers: entries are presented as verified with respect to authorship, year,</w:t>
      </w:r>
    </w:p>
    <w:p>
      <w:r>
        <w:rPr>
          <w:rFonts w:ascii="Calibri" w:hAnsi="Calibri"/>
          <w:b w:val="0"/>
          <w:color w:val="2B2B2B"/>
          <w:sz w:val="22"/>
        </w:rPr>
        <w:t>title and source. DOIs and URLs will be incorporated after individual verification in Crossref. No</w:t>
      </w:r>
    </w:p>
    <w:p>
      <w:r>
        <w:rPr>
          <w:rFonts w:ascii="Calibri" w:hAnsi="Calibri"/>
          <w:b w:val="0"/>
          <w:color w:val="2B2B2B"/>
          <w:sz w:val="22"/>
        </w:rPr>
        <w:t>DOI is transcribed that has not been verified.*</w:t>
      </w:r>
    </w:p>
    <w:p>
      <w:r>
        <w:rPr>
          <w:rFonts w:ascii="Calibri" w:hAnsi="Calibri"/>
          <w:b w:val="0"/>
          <w:color w:val="2B2B2B"/>
          <w:sz w:val="22"/>
        </w:rPr>
        <w:t xml:space="preserve">Beck, K. (2003). </w:t>
      </w:r>
      <w:r>
        <w:rPr>
          <w:rFonts w:ascii="Calibri" w:hAnsi="Calibri"/>
          <w:i/>
          <w:color w:val="2B2B2B"/>
          <w:sz w:val="22"/>
        </w:rPr>
        <w:t>Test-Driven Development: By Example</w:t>
      </w:r>
      <w:r>
        <w:rPr>
          <w:rFonts w:ascii="Calibri" w:hAnsi="Calibri"/>
          <w:b w:val="0"/>
          <w:color w:val="2B2B2B"/>
          <w:sz w:val="22"/>
        </w:rPr>
        <w:t>. Addison-Wesley.</w:t>
      </w:r>
    </w:p>
    <w:p>
      <w:r>
        <w:rPr>
          <w:rFonts w:ascii="Calibri" w:hAnsi="Calibri"/>
          <w:b w:val="0"/>
          <w:color w:val="2B2B2B"/>
          <w:sz w:val="22"/>
        </w:rPr>
        <w:t>Brown, J. S., Collins, A., &amp; Duguid, P. (1989). Situated cognition and the culture of learning.</w:t>
      </w:r>
    </w:p>
    <w:p>
      <w:r>
        <w:rPr>
          <w:rFonts w:ascii="Calibri" w:hAnsi="Calibri"/>
          <w:i/>
          <w:color w:val="2B2B2B"/>
          <w:sz w:val="22"/>
        </w:rPr>
        <w:t>Educational Researcher</w:t>
      </w:r>
      <w:r>
        <w:rPr>
          <w:rFonts w:ascii="Calibri" w:hAnsi="Calibri"/>
          <w:b w:val="0"/>
          <w:color w:val="2B2B2B"/>
          <w:sz w:val="22"/>
        </w:rPr>
        <w:t>, 18(1), 32–42.</w:t>
      </w:r>
    </w:p>
    <w:p>
      <w:r>
        <w:rPr>
          <w:rFonts w:ascii="Calibri" w:hAnsi="Calibri"/>
          <w:b w:val="0"/>
          <w:color w:val="2B2B2B"/>
          <w:sz w:val="22"/>
        </w:rPr>
        <w:t>Buckingham Shum, S., &amp; Ferguson, R. (2012). Social learning analytics. *Educational Technology &amp;</w:t>
      </w:r>
    </w:p>
    <w:p>
      <w:r>
        <w:rPr>
          <w:rFonts w:ascii="Calibri" w:hAnsi="Calibri"/>
          <w:b w:val="0"/>
          <w:color w:val="2B2B2B"/>
          <w:sz w:val="22"/>
        </w:rPr>
        <w:t>Society*, 15(3), 3–26.</w:t>
      </w:r>
    </w:p>
    <w:p>
      <w:r>
        <w:rPr>
          <w:rFonts w:ascii="Calibri" w:hAnsi="Calibri"/>
          <w:b w:val="0"/>
          <w:color w:val="2B2B2B"/>
          <w:sz w:val="22"/>
        </w:rPr>
        <w:t xml:space="preserve">Fowler, M. (2018). </w:t>
      </w:r>
      <w:r>
        <w:rPr>
          <w:rFonts w:ascii="Calibri" w:hAnsi="Calibri"/>
          <w:i/>
          <w:color w:val="2B2B2B"/>
          <w:sz w:val="22"/>
        </w:rPr>
        <w:t>Refactoring: Improving the Design of Existing Code</w:t>
      </w:r>
      <w:r>
        <w:rPr>
          <w:rFonts w:ascii="Calibri" w:hAnsi="Calibri"/>
          <w:b w:val="0"/>
          <w:color w:val="2B2B2B"/>
          <w:sz w:val="22"/>
        </w:rPr>
        <w:t xml:space="preserve"> (2nd ed.). Addison-Wesley.</w:t>
      </w:r>
    </w:p>
    <w:p>
      <w:r>
        <w:rPr>
          <w:rFonts w:ascii="Calibri" w:hAnsi="Calibri"/>
          <w:b w:val="0"/>
          <w:color w:val="2B2B2B"/>
          <w:sz w:val="22"/>
        </w:rPr>
        <w:t>Humble, J., &amp; Farley, D. (2010). *Continuous Delivery: Reliable Software Releases through Build,</w:t>
      </w:r>
    </w:p>
    <w:p>
      <w:r>
        <w:rPr>
          <w:rFonts w:ascii="Calibri" w:hAnsi="Calibri"/>
          <w:b w:val="0"/>
          <w:color w:val="2B2B2B"/>
          <w:sz w:val="22"/>
        </w:rPr>
        <w:t>Test, and Deployment Automation*. Addison-Wesley.</w:t>
      </w:r>
    </w:p>
    <w:p>
      <w:r>
        <w:rPr>
          <w:rFonts w:ascii="Calibri" w:hAnsi="Calibri"/>
          <w:b w:val="0"/>
          <w:color w:val="2B2B2B"/>
          <w:sz w:val="22"/>
        </w:rPr>
        <w:t>Kitchenham, B., Pfleeger, S. L., Pickard, L. M., Jones, P. W., Hoaglin, D. C., El Emam, K., &amp;</w:t>
      </w:r>
    </w:p>
    <w:p>
      <w:r>
        <w:rPr>
          <w:rFonts w:ascii="Calibri" w:hAnsi="Calibri"/>
          <w:b w:val="0"/>
          <w:color w:val="2B2B2B"/>
          <w:sz w:val="22"/>
        </w:rPr>
        <w:t>Rosenberg, J. (2002). Preliminary guidelines for empirical research in software engineering.</w:t>
      </w:r>
    </w:p>
    <w:p>
      <w:r>
        <w:rPr>
          <w:rFonts w:ascii="Calibri" w:hAnsi="Calibri"/>
          <w:i/>
          <w:color w:val="2B2B2B"/>
          <w:sz w:val="22"/>
        </w:rPr>
        <w:t>IEEE Transactions on Software Engineering</w:t>
      </w:r>
      <w:r>
        <w:rPr>
          <w:rFonts w:ascii="Calibri" w:hAnsi="Calibri"/>
          <w:b w:val="0"/>
          <w:color w:val="2B2B2B"/>
          <w:sz w:val="22"/>
        </w:rPr>
        <w:t>, 28(8), 721–734.</w:t>
      </w:r>
    </w:p>
    <w:p>
      <w:r>
        <w:rPr>
          <w:rFonts w:ascii="Calibri" w:hAnsi="Calibri"/>
          <w:b w:val="0"/>
          <w:color w:val="2B2B2B"/>
          <w:sz w:val="22"/>
        </w:rPr>
        <w:t xml:space="preserve">Knuth, D. E. (1984). Literate programming. </w:t>
      </w:r>
      <w:r>
        <w:rPr>
          <w:rFonts w:ascii="Calibri" w:hAnsi="Calibri"/>
          <w:i/>
          <w:color w:val="2B2B2B"/>
          <w:sz w:val="22"/>
        </w:rPr>
        <w:t>The Computer Journal</w:t>
      </w:r>
      <w:r>
        <w:rPr>
          <w:rFonts w:ascii="Calibri" w:hAnsi="Calibri"/>
          <w:b w:val="0"/>
          <w:color w:val="2B2B2B"/>
          <w:sz w:val="22"/>
        </w:rPr>
        <w:t>, 27(2), 97–111.</w:t>
      </w:r>
    </w:p>
    <w:p>
      <w:r>
        <w:rPr>
          <w:rFonts w:ascii="Calibri" w:hAnsi="Calibri"/>
          <w:b w:val="0"/>
          <w:color w:val="2B2B2B"/>
          <w:sz w:val="22"/>
        </w:rPr>
        <w:t>Laurillard, D. (2012). *Teaching as a Design Science: Building Pedagogical Patterns for Learning and</w:t>
      </w:r>
    </w:p>
    <w:p>
      <w:r>
        <w:rPr>
          <w:rFonts w:ascii="Calibri" w:hAnsi="Calibri"/>
          <w:b w:val="0"/>
          <w:color w:val="2B2B2B"/>
          <w:sz w:val="22"/>
        </w:rPr>
        <w:t>Technology*. Routledge.</w:t>
      </w:r>
    </w:p>
    <w:p>
      <w:r>
        <w:rPr>
          <w:rFonts w:ascii="Calibri" w:hAnsi="Calibri"/>
          <w:b w:val="0"/>
          <w:color w:val="2B2B2B"/>
          <w:sz w:val="22"/>
        </w:rPr>
        <w:t>Merrill, M. D. (2002). First principles of instruction. *Educational Technology Research and</w:t>
      </w:r>
    </w:p>
    <w:p>
      <w:r>
        <w:rPr>
          <w:rFonts w:ascii="Calibri" w:hAnsi="Calibri"/>
          <w:b w:val="0"/>
          <w:color w:val="2B2B2B"/>
          <w:sz w:val="22"/>
        </w:rPr>
        <w:t>Development*, 50(3), 43–59.</w:t>
      </w:r>
    </w:p>
    <w:p>
      <w:r>
        <w:rPr>
          <w:rFonts w:ascii="Calibri" w:hAnsi="Calibri"/>
          <w:b w:val="0"/>
          <w:color w:val="2B2B2B"/>
          <w:sz w:val="22"/>
        </w:rPr>
        <w:t>Mishra, P., &amp; Koehler, M. J. (2006). Technological pedagogical content knowledge: A framework for</w:t>
      </w:r>
    </w:p>
    <w:p>
      <w:r>
        <w:rPr>
          <w:rFonts w:ascii="Calibri" w:hAnsi="Calibri"/>
          <w:b w:val="0"/>
          <w:color w:val="2B2B2B"/>
          <w:sz w:val="22"/>
        </w:rPr>
        <w:t xml:space="preserve">teacher knowledge. </w:t>
      </w:r>
      <w:r>
        <w:rPr>
          <w:rFonts w:ascii="Calibri" w:hAnsi="Calibri"/>
          <w:i/>
          <w:color w:val="2B2B2B"/>
          <w:sz w:val="22"/>
        </w:rPr>
        <w:t>Teachers College Record</w:t>
      </w:r>
      <w:r>
        <w:rPr>
          <w:rFonts w:ascii="Calibri" w:hAnsi="Calibri"/>
          <w:b w:val="0"/>
          <w:color w:val="2B2B2B"/>
          <w:sz w:val="22"/>
        </w:rPr>
        <w:t>, 108(6), 1017–1054.</w:t>
      </w:r>
    </w:p>
    <w:p>
      <w:r>
        <w:rPr>
          <w:rFonts w:ascii="Calibri" w:hAnsi="Calibri"/>
          <w:b w:val="0"/>
          <w:color w:val="2B2B2B"/>
          <w:sz w:val="22"/>
        </w:rPr>
        <w:t xml:space="preserve">Peng, R. D. (2011). Reproducible research in computational science. </w:t>
      </w:r>
      <w:r>
        <w:rPr>
          <w:rFonts w:ascii="Calibri" w:hAnsi="Calibri"/>
          <w:i/>
          <w:color w:val="2B2B2B"/>
          <w:sz w:val="22"/>
        </w:rPr>
        <w:t>Science</w:t>
      </w:r>
      <w:r>
        <w:rPr>
          <w:rFonts w:ascii="Calibri" w:hAnsi="Calibri"/>
          <w:b w:val="0"/>
          <w:color w:val="2B2B2B"/>
          <w:sz w:val="22"/>
        </w:rPr>
        <w:t>, 334(6060), 1226–1227.</w:t>
      </w:r>
    </w:p>
    <w:p>
      <w:r>
        <w:rPr>
          <w:rFonts w:ascii="Calibri" w:hAnsi="Calibri"/>
          <w:b w:val="0"/>
          <w:color w:val="2B2B2B"/>
          <w:sz w:val="22"/>
        </w:rPr>
        <w:t xml:space="preserve">Perkel, J. M. (2018). A toolkit for data transparency takes shape. </w:t>
      </w:r>
      <w:r>
        <w:rPr>
          <w:rFonts w:ascii="Calibri" w:hAnsi="Calibri"/>
          <w:i/>
          <w:color w:val="2B2B2B"/>
          <w:sz w:val="22"/>
        </w:rPr>
        <w:t>Nature</w:t>
      </w:r>
      <w:r>
        <w:rPr>
          <w:rFonts w:ascii="Calibri" w:hAnsi="Calibri"/>
          <w:b w:val="0"/>
          <w:color w:val="2B2B2B"/>
          <w:sz w:val="22"/>
        </w:rPr>
        <w:t>, 560(7719), 513–515.</w:t>
      </w:r>
    </w:p>
    <w:p>
      <w:r>
        <w:rPr>
          <w:rFonts w:ascii="Calibri" w:hAnsi="Calibri"/>
          <w:b w:val="0"/>
          <w:color w:val="2B2B2B"/>
          <w:sz w:val="22"/>
        </w:rPr>
        <w:t>Runeson, P., &amp; Höst, M. (2009). Guidelines for conducting and reporting case study research in</w:t>
      </w:r>
    </w:p>
    <w:p>
      <w:r>
        <w:rPr>
          <w:rFonts w:ascii="Calibri" w:hAnsi="Calibri"/>
          <w:b w:val="0"/>
          <w:color w:val="2B2B2B"/>
          <w:sz w:val="22"/>
        </w:rPr>
        <w:t xml:space="preserve">software engineering. </w:t>
      </w:r>
      <w:r>
        <w:rPr>
          <w:rFonts w:ascii="Calibri" w:hAnsi="Calibri"/>
          <w:i/>
          <w:color w:val="2B2B2B"/>
          <w:sz w:val="22"/>
        </w:rPr>
        <w:t>Empirical Software Engineering</w:t>
      </w:r>
      <w:r>
        <w:rPr>
          <w:rFonts w:ascii="Calibri" w:hAnsi="Calibri"/>
          <w:b w:val="0"/>
          <w:color w:val="2B2B2B"/>
          <w:sz w:val="22"/>
        </w:rPr>
        <w:t>, 14(2), 131–164.</w:t>
      </w:r>
    </w:p>
    <w:p>
      <w:r>
        <w:rPr>
          <w:rFonts w:ascii="Calibri" w:hAnsi="Calibri"/>
          <w:b w:val="0"/>
          <w:color w:val="2B2B2B"/>
          <w:sz w:val="22"/>
        </w:rPr>
        <w:t>Sandve, G. K., Nekrutenko, A., Taylor, J., &amp; Hovig, E. (2013). Ten simple rules for reproducible</w:t>
      </w:r>
    </w:p>
    <w:p>
      <w:r>
        <w:rPr>
          <w:rFonts w:ascii="Calibri" w:hAnsi="Calibri"/>
          <w:b w:val="0"/>
          <w:color w:val="2B2B2B"/>
          <w:sz w:val="22"/>
        </w:rPr>
        <w:t xml:space="preserve">computational research. </w:t>
      </w:r>
      <w:r>
        <w:rPr>
          <w:rFonts w:ascii="Calibri" w:hAnsi="Calibri"/>
          <w:i/>
          <w:color w:val="2B2B2B"/>
          <w:sz w:val="22"/>
        </w:rPr>
        <w:t>PLOS Computational Biology</w:t>
      </w:r>
      <w:r>
        <w:rPr>
          <w:rFonts w:ascii="Calibri" w:hAnsi="Calibri"/>
          <w:b w:val="0"/>
          <w:color w:val="2B2B2B"/>
          <w:sz w:val="22"/>
        </w:rPr>
        <w:t>, 9(10), e1003285.</w:t>
      </w:r>
    </w:p>
    <w:p>
      <w:r>
        <w:rPr>
          <w:rFonts w:ascii="Calibri" w:hAnsi="Calibri"/>
          <w:b w:val="0"/>
          <w:color w:val="2B2B2B"/>
          <w:sz w:val="22"/>
        </w:rPr>
        <w:t>Selwyn, N. (2019). Should robots replace teachers? AI and the future of education. *Learning, Media</w:t>
      </w:r>
    </w:p>
    <w:p>
      <w:r>
        <w:rPr>
          <w:rFonts w:ascii="Calibri" w:hAnsi="Calibri"/>
          <w:b w:val="0"/>
          <w:color w:val="2B2B2B"/>
          <w:sz w:val="22"/>
        </w:rPr>
        <w:t>and Technology*, 44(4), 1–14.</w:t>
      </w:r>
    </w:p>
    <w:p>
      <w:r>
        <w:rPr>
          <w:rFonts w:ascii="Calibri" w:hAnsi="Calibri"/>
          <w:b w:val="0"/>
          <w:color w:val="2B2B2B"/>
          <w:sz w:val="22"/>
        </w:rPr>
        <w:t xml:space="preserve">Shute, V. J. (2008). Focus on formative feedback. </w:t>
      </w:r>
      <w:r>
        <w:rPr>
          <w:rFonts w:ascii="Calibri" w:hAnsi="Calibri"/>
          <w:i/>
          <w:color w:val="2B2B2B"/>
          <w:sz w:val="22"/>
        </w:rPr>
        <w:t>Review of Educational Research</w:t>
      </w:r>
      <w:r>
        <w:rPr>
          <w:rFonts w:ascii="Calibri" w:hAnsi="Calibri"/>
          <w:b w:val="0"/>
          <w:color w:val="2B2B2B"/>
          <w:sz w:val="22"/>
        </w:rPr>
        <w:t>, 78(1), 153–189.</w:t>
      </w:r>
    </w:p>
    <w:p>
      <w:r>
        <w:rPr>
          <w:rFonts w:ascii="Calibri" w:hAnsi="Calibri"/>
          <w:b w:val="0"/>
          <w:color w:val="2B2B2B"/>
          <w:sz w:val="22"/>
        </w:rPr>
        <w:t xml:space="preserve">Wiggins, G., &amp; McTighe, J. (2005). </w:t>
      </w:r>
      <w:r>
        <w:rPr>
          <w:rFonts w:ascii="Calibri" w:hAnsi="Calibri"/>
          <w:i/>
          <w:color w:val="2B2B2B"/>
          <w:sz w:val="22"/>
        </w:rPr>
        <w:t>Understanding by Design</w:t>
      </w:r>
      <w:r>
        <w:rPr>
          <w:rFonts w:ascii="Calibri" w:hAnsi="Calibri"/>
          <w:b w:val="0"/>
          <w:color w:val="2B2B2B"/>
          <w:sz w:val="22"/>
        </w:rPr>
        <w:t xml:space="preserve"> (2nd ed.). Association for Supervision</w:t>
      </w:r>
    </w:p>
    <w:p>
      <w:r>
        <w:rPr>
          <w:rFonts w:ascii="Calibri" w:hAnsi="Calibri"/>
          <w:b w:val="0"/>
          <w:color w:val="2B2B2B"/>
          <w:sz w:val="22"/>
        </w:rPr>
        <w:t>and Curriculum Development.</w:t>
      </w:r>
    </w:p>
    <w:p>
      <w:r>
        <w:rPr>
          <w:rFonts w:ascii="Calibri" w:hAnsi="Calibri"/>
          <w:b w:val="0"/>
          <w:color w:val="2B2B2B"/>
          <w:sz w:val="22"/>
        </w:rPr>
        <w:t>Wilson, G., Bryan, J., Cranston, K., Kitzes, J., Nederbragt, L., &amp; Teal, T. K. (2017). Good enough</w:t>
      </w:r>
    </w:p>
    <w:p>
      <w:r>
        <w:rPr>
          <w:rFonts w:ascii="Calibri" w:hAnsi="Calibri"/>
          <w:b w:val="0"/>
          <w:color w:val="2B2B2B"/>
          <w:sz w:val="22"/>
        </w:rPr>
        <w:t xml:space="preserve">practices in scientific computing. </w:t>
      </w:r>
      <w:r>
        <w:rPr>
          <w:rFonts w:ascii="Calibri" w:hAnsi="Calibri"/>
          <w:i/>
          <w:color w:val="2B2B2B"/>
          <w:sz w:val="22"/>
        </w:rPr>
        <w:t>PLOS Computational Biology</w:t>
      </w:r>
      <w:r>
        <w:rPr>
          <w:rFonts w:ascii="Calibri" w:hAnsi="Calibri"/>
          <w:b w:val="0"/>
          <w:color w:val="2B2B2B"/>
          <w:sz w:val="22"/>
        </w:rPr>
        <w:t>, 13(6), e1005510.</w:t>
      </w:r>
    </w:p>
    <w:p>
      <w:r>
        <w:rPr>
          <w:rFonts w:ascii="Calibri" w:hAnsi="Calibri"/>
          <w:b w:val="0"/>
          <w:color w:val="2B2B2B"/>
          <w:sz w:val="22"/>
        </w:rPr>
        <w:t>Zawacki-Richter, O., Marín, V. I., Bond, M., &amp; Gouverneur, F. (2019). Systematic review of research</w:t>
      </w:r>
    </w:p>
    <w:p>
      <w:r>
        <w:rPr>
          <w:rFonts w:ascii="Calibri" w:hAnsi="Calibri"/>
          <w:b w:val="0"/>
          <w:color w:val="2B2B2B"/>
          <w:sz w:val="22"/>
        </w:rPr>
        <w:t>on artificial intelligence applications in higher education. *International Journal of Educational</w:t>
      </w:r>
    </w:p>
    <w:p>
      <w:r>
        <w:rPr>
          <w:rFonts w:ascii="Calibri" w:hAnsi="Calibri"/>
          <w:b w:val="0"/>
          <w:color w:val="2B2B2B"/>
          <w:sz w:val="22"/>
        </w:rPr>
        <w:t>Technology in Higher Education*, 16(1), 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