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03/09/2026 – cierre 09/09/2026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(09/09/2026)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(02/09/2026): Sesión 04.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 — Validación de la propuesta · vigilancia tecnológica)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r>
        <w:rPr>
          <w:rFonts w:ascii="Calibri" w:hAnsi="Calibri"/>
          <w:b/>
          <w:color w:val="2B2B2B"/>
          <w:sz w:val="22"/>
        </w:rPr>
        <w:t>Material de estudio publicado aparte del deck: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Material de estudio U2 — Bloqueadores y ensanchadores de la creatividad</w:t>
      </w:r>
      <w:r>
        <w:rPr>
          <w:rFonts w:ascii="Calibri" w:hAnsi="Calibri"/>
          <w:b w:val="0"/>
          <w:color w:val="2B2B2B"/>
          <w:sz w:val="22"/>
        </w:rPr>
        <w:t>: sí entra — bloqueadores perceptivos, emocionales y culturales · ensanchadores · la inteligencia emocional como insumo de la creatividad · autodiagnóstico. Está en la carpeta de la Sesión 01 del Drive de clases y como recurso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Tipos de innovación:</w:t>
      </w:r>
      <w:r>
        <w:rPr>
          <w:rFonts w:ascii="Calibri" w:hAnsi="Calibri"/>
          <w:b w:val="0"/>
          <w:color w:val="2B2B2B"/>
          <w:sz w:val="22"/>
        </w:rPr>
        <w:t xml:space="preserve"> Tipifica una innovación (producto, proceso, organización, marketing, social) y prepárate para </w:t>
      </w:r>
      <w:r>
        <w:rPr>
          <w:rFonts w:ascii="Calibri" w:hAnsi="Calibri"/>
          <w:b/>
          <w:color w:val="2B2B2B"/>
          <w:sz w:val="22"/>
        </w:rPr>
        <w:t>justificar</w:t>
      </w:r>
      <w:r>
        <w:rPr>
          <w:rFonts w:ascii="Calibri" w:hAnsi="Calibri"/>
          <w:b w:val="0"/>
          <w:color w:val="2B2B2B"/>
          <w:sz w:val="22"/>
        </w:rPr>
        <w:t xml:space="preserve"> por qué la tuya es de ese tipo y no de otro.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(Validación de la propuesta · vigilancia tecnológica),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(Tipos de innovación). Con el Quiz 2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