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19/08/2026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(19/08/2026)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Ninguna sesión de tema cae antes de este cierre.</w:t>
      </w:r>
      <w:r>
        <w:rPr>
          <w:rFonts w:ascii="Calibri" w:hAnsi="Calibri"/>
          <w:b w:val="0"/>
          <w:color w:val="2B2B2B"/>
          <w:sz w:val="22"/>
        </w:rPr>
        <w:t xml:space="preserve"> Lo que entra es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lo que el Docente haya publicado en CDigital: nada de lo que se dicta en las sesiones siguientes.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 y su ventana termina </w:t>
      </w:r>
      <w:r>
        <w:rPr>
          <w:rFonts w:ascii="Calibri" w:hAnsi="Calibri"/>
          <w:b/>
          <w:color w:val="2B2B2B"/>
          <w:sz w:val="22"/>
        </w:rPr>
        <w:t>el día de la primera clase de tema</w:t>
      </w:r>
      <w:r>
        <w:rPr>
          <w:rFonts w:ascii="Calibri" w:hAnsi="Calibri"/>
          <w:b w:val="0"/>
          <w:color w:val="2B2B2B"/>
          <w:sz w:val="22"/>
        </w:rPr>
        <w:t>: por eso la lista de arriba está vacía.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 — Creatividad/innovación en I+D · Design Thinking y técnicas)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r>
        <w:rPr>
          <w:rFonts w:ascii="Calibri" w:hAnsi="Calibri"/>
          <w:b/>
          <w:color w:val="2B2B2B"/>
          <w:sz w:val="22"/>
        </w:rPr>
        <w:t>Material de estudio publicado aparte del deck: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Material de estudio U2 — Bloqueadores y ensanchadores de la creatividad</w:t>
      </w:r>
      <w:r>
        <w:rPr>
          <w:rFonts w:ascii="Calibri" w:hAnsi="Calibri"/>
          <w:b w:val="0"/>
          <w:color w:val="2B2B2B"/>
          <w:sz w:val="22"/>
        </w:rPr>
        <w:t xml:space="preserve">: publicado en la carpeta de la Sesión 01 y en el aula, pero </w:t>
      </w:r>
      <w:r>
        <w:rPr>
          <w:rFonts w:ascii="Calibri" w:hAnsi="Calibri"/>
          <w:b/>
          <w:color w:val="2B2B2B"/>
          <w:sz w:val="22"/>
        </w:rPr>
        <w:t>NO entra en Quiz 1</w:t>
      </w:r>
      <w:r>
        <w:rPr>
          <w:rFonts w:ascii="Calibri" w:hAnsi="Calibri"/>
          <w:b w:val="0"/>
          <w:color w:val="2B2B2B"/>
          <w:sz w:val="22"/>
        </w:rPr>
        <w:t>, tal como dice su propia consigna. Entra a partir del siguiente cuestionario.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Ojo con el alcance:</w:t>
      </w:r>
      <w:r>
        <w:rPr>
          <w:rFonts w:ascii="Calibri" w:hAnsi="Calibri"/>
          <w:b w:val="0"/>
          <w:color w:val="2B2B2B"/>
          <w:sz w:val="22"/>
        </w:rPr>
        <w:t xml:space="preserve"> antes de este cierre no se ha dictado tema en clase (punto 3). Entra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lo que el Docente haya publicado en CDigital;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 nada de las sesiones que vienen después.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Propuesta de Innovación · creatividad e inteligencia emocional): ten claro qué es la Propuesta de Innovación —el producto conductor del curso— y qué papel juega la inteligencia emocional en el trabajo creativo.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 de Innovación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(Creatividad/innovación en I+D · Design Thinking y técnicas),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antes de esa fecha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ha dictado tema en clase, así que se resuelve con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y con el encuadre. Es el </w:t>
      </w:r>
      <w:r>
        <w:rPr>
          <w:rFonts w:ascii="Calibri" w:hAnsi="Calibri"/>
          <w:b/>
          <w:color w:val="2B2B2B"/>
          <w:sz w:val="22"/>
        </w:rPr>
        <w:t>único</w:t>
      </w:r>
      <w:r>
        <w:rPr>
          <w:rFonts w:ascii="Calibri" w:hAnsi="Calibri"/>
          <w:b w:val="0"/>
          <w:color w:val="2B2B2B"/>
          <w:sz w:val="22"/>
        </w:rPr>
        <w:t xml:space="preserve"> cuestionario del curso que cae antes de la primera clase de tema. </w:t>
      </w:r>
      <w:r>
        <w:rPr>
          <w:rFonts w:ascii="Calibri" w:hAnsi="Calibri"/>
          <w:b/>
          <w:color w:val="2B2B2B"/>
          <w:sz w:val="22"/>
        </w:rPr>
        <w:t>Manual de Oslo, tipos de innovación, FODA, Canvas, MVP y vigilancia tecnológica se dictan después: no entran aquí.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