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C2340"/>
          <w:sz w:val="44"/>
        </w:rPr>
        <w:t>A Repository-as-Source-of-Truth Architecture for AI-Assisted Course Material Authoring: An Experience Report from Five Undergraduate and Graduate Courses</w:t>
      </w:r>
    </w:p>
    <w:p>
      <w:r>
        <w:rPr>
          <w:rFonts w:ascii="Calibri" w:hAnsi="Calibri"/>
          <w:b/>
          <w:color w:val="2B2B2B"/>
          <w:sz w:val="22"/>
        </w:rPr>
        <w:t>Una arquitectura de repositorio como fuente única para la autoría de material docente asistida por IA: informe de experiencia en cinco asignaturas de pregrado y posgrado</w:t>
      </w:r>
    </w:p>
    <w:p>
      <w:r>
        <w:rPr>
          <w:rFonts w:ascii="Calibri" w:hAnsi="Calibri"/>
          <w:b/>
          <w:color w:val="2B2B2B"/>
          <w:sz w:val="22"/>
        </w:rPr>
        <w:t>Corresponding author</w:t>
      </w:r>
    </w:p>
    <w:p>
      <w:r>
        <w:rPr>
          <w:rFonts w:ascii="Calibri" w:hAnsi="Calibri"/>
          <w:b w:val="0"/>
          <w:color w:val="2B2B2B"/>
          <w:sz w:val="22"/>
        </w:rPr>
        <w:t>Julian Andrés Castaño Espinosa</w:t>
      </w:r>
    </w:p>
    <w:p>
      <w:r>
        <w:rPr>
          <w:rFonts w:ascii="Calibri" w:hAnsi="Calibri"/>
          <w:b w:val="0"/>
          <w:color w:val="2B2B2B"/>
          <w:sz w:val="22"/>
        </w:rPr>
        <w:t>School of Engineering, Corporación Unificada Nacional de Educación Superior — CUN</w:t>
      </w:r>
    </w:p>
    <w:p>
      <w:r>
        <w:rPr>
          <w:rFonts w:ascii="Calibri" w:hAnsi="Calibri"/>
          <w:b w:val="0"/>
          <w:color w:val="2B2B2B"/>
          <w:sz w:val="22"/>
        </w:rPr>
        <w:t>Bogotá, Colombia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ORCID: https://orcid.org/0009-0003-6598-432X</w:t>
      </w:r>
    </w:p>
    <w:p>
      <w:r>
        <w:rPr>
          <w:rFonts w:ascii="Calibri" w:hAnsi="Calibri"/>
          <w:b/>
          <w:color w:val="2B2B2B"/>
          <w:sz w:val="22"/>
        </w:rPr>
        <w:t>Authorship.</w:t>
      </w:r>
      <w:r>
        <w:rPr>
          <w:rFonts w:ascii="Calibri" w:hAnsi="Calibri"/>
          <w:b w:val="0"/>
          <w:color w:val="2B2B2B"/>
          <w:sz w:val="22"/>
        </w:rPr>
        <w:t xml:space="preserve"> This experience report is signed by a single author, who designed, implemented and</w:t>
      </w:r>
    </w:p>
    <w:p>
      <w:r>
        <w:rPr>
          <w:rFonts w:ascii="Calibri" w:hAnsi="Calibri"/>
          <w:b w:val="0"/>
          <w:color w:val="2B2B2B"/>
          <w:sz w:val="22"/>
        </w:rPr>
        <w:t>operated the system described.</w:t>
      </w:r>
    </w:p>
    <w:p>
      <w:r>
        <w:rPr>
          <w:rFonts w:ascii="Calibri" w:hAnsi="Calibri"/>
          <w:b/>
          <w:color w:val="2B2B2B"/>
          <w:sz w:val="22"/>
        </w:rPr>
        <w:t>Institutional affiliation of the work:</w:t>
      </w:r>
      <w:r>
        <w:rPr>
          <w:rFonts w:ascii="Calibri" w:hAnsi="Calibri"/>
          <w:b w:val="0"/>
          <w:color w:val="2B2B2B"/>
          <w:sz w:val="22"/>
        </w:rPr>
        <w:t xml:space="preserve"> School of Engineering, CUN. Internal research call</w:t>
      </w:r>
    </w:p>
    <w:p>
      <w:r>
        <w:rPr>
          <w:rFonts w:ascii="Calibri" w:hAnsi="Calibri"/>
          <w:b w:val="0"/>
          <w:color w:val="2B2B2B"/>
          <w:sz w:val="22"/>
        </w:rPr>
        <w:t>CUN 2026 — Thematic Research Groups, Phase II.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ACKNOWLEDGEMENTS AND DECLARATIONS</w:t>
      </w:r>
    </w:p>
    <w:p>
      <w:r>
        <w:rPr>
          <w:rFonts w:ascii="Calibri" w:hAnsi="Calibri"/>
          <w:b/>
          <w:color w:val="2B2B2B"/>
          <w:sz w:val="22"/>
        </w:rPr>
        <w:t>Funding.</w:t>
      </w:r>
      <w:r>
        <w:rPr>
          <w:rFonts w:ascii="Calibri" w:hAnsi="Calibri"/>
          <w:b w:val="0"/>
          <w:color w:val="2B2B2B"/>
          <w:sz w:val="22"/>
        </w:rPr>
        <w:t xml:space="preserve"> This work was developed within the internal research call CUN 2026 — Thematic Research</w:t>
      </w:r>
    </w:p>
    <w:p>
      <w:r>
        <w:rPr>
          <w:rFonts w:ascii="Calibri" w:hAnsi="Calibri"/>
          <w:b w:val="0"/>
          <w:color w:val="2B2B2B"/>
          <w:sz w:val="22"/>
        </w:rPr>
        <w:t>Groups, Phase II, of the Corporación Unificada Nacional de Educación Superior. No external funding.</w:t>
      </w:r>
    </w:p>
    <w:p>
      <w:r>
        <w:rPr>
          <w:rFonts w:ascii="Calibri" w:hAnsi="Calibri"/>
          <w:b/>
          <w:color w:val="2B2B2B"/>
          <w:sz w:val="22"/>
        </w:rPr>
        <w:t>Author contributions.</w:t>
      </w:r>
      <w:r>
        <w:rPr>
          <w:rFonts w:ascii="Calibri" w:hAnsi="Calibri"/>
          <w:b w:val="0"/>
          <w:color w:val="2B2B2B"/>
          <w:sz w:val="22"/>
        </w:rPr>
        <w:t xml:space="preserve"> Conceptualisation, methodology, software, writing of the original draft,</w:t>
      </w:r>
    </w:p>
    <w:p>
      <w:r>
        <w:rPr>
          <w:rFonts w:ascii="Calibri" w:hAnsi="Calibri"/>
          <w:b w:val="0"/>
          <w:color w:val="2B2B2B"/>
          <w:sz w:val="22"/>
        </w:rPr>
        <w:t>and writing with review and editing: the single signing author.</w:t>
      </w:r>
    </w:p>
    <w:p>
      <w:r>
        <w:rPr>
          <w:rFonts w:ascii="Calibri" w:hAnsi="Calibri"/>
          <w:b/>
          <w:color w:val="2B2B2B"/>
          <w:sz w:val="22"/>
        </w:rPr>
        <w:t>Conflict of interest.</w:t>
      </w:r>
      <w:r>
        <w:rPr>
          <w:rFonts w:ascii="Calibri" w:hAnsi="Calibri"/>
          <w:b w:val="0"/>
          <w:color w:val="2B2B2B"/>
          <w:sz w:val="22"/>
        </w:rPr>
        <w:t xml:space="preserve"> The author declares no conflict of interest.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Data Availability Statement</w:t>
      </w:r>
    </w:p>
    <w:p>
      <w:r>
        <w:rPr>
          <w:rFonts w:ascii="Calibri" w:hAnsi="Calibri"/>
          <w:b/>
          <w:color w:val="2B2B2B"/>
          <w:sz w:val="22"/>
        </w:rPr>
        <w:t>Data Availability Statement / Declaración de disponibilidad de datos / Declaração de disponibilidade de dados.</w:t>
      </w:r>
      <w:r>
        <w:rPr>
          <w:rFonts w:ascii="Calibri" w:hAnsi="Calibri"/>
          <w:b w:val="0"/>
          <w:color w:val="2B2B2B"/>
          <w:sz w:val="22"/>
        </w:rPr>
        <w:t xml:space="preserve"> The system described is an institutional teaching repository that contains student-related administrative data — class rosters, group codes and institutional e-mail addresses — and therefore cannot be published as-is. No research dataset was generated by this work. A description of the architecture sufficient to reimplement it is given in Section 3, and the author will respond to reasonable requests for further methodological detail.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Declaration on the use of Artificial Intelligence</w:t>
      </w:r>
    </w:p>
    <w:p>
      <w:r>
        <w:rPr>
          <w:rFonts w:ascii="Calibri" w:hAnsi="Calibri"/>
          <w:b/>
          <w:color w:val="2B2B2B"/>
          <w:sz w:val="22"/>
        </w:rPr>
        <w:t>Declaration on the use of Artificial Intelligence / Declaración de uso de Inteligencia Artificial.</w:t>
      </w:r>
    </w:p>
    <w:p>
      <w:r>
        <w:rPr>
          <w:rFonts w:ascii="Calibri" w:hAnsi="Calibri"/>
          <w:b w:val="0"/>
          <w:color w:val="2B2B2B"/>
          <w:sz w:val="22"/>
        </w:rPr>
        <w:t>Generative artificial intelligence assistants — Claude (Anthropic) and ChatGPT (OpenAI) — were used</w:t>
      </w:r>
    </w:p>
    <w:p>
      <w:r>
        <w:rPr>
          <w:rFonts w:ascii="Calibri" w:hAnsi="Calibri"/>
          <w:b w:val="0"/>
          <w:color w:val="2B2B2B"/>
          <w:sz w:val="22"/>
        </w:rPr>
        <w:t>in the preparation of this manuscript for drafting and editing prose, and for checking internal</w:t>
      </w:r>
    </w:p>
    <w:p>
      <w:r>
        <w:rPr>
          <w:rFonts w:ascii="Calibri" w:hAnsi="Calibri"/>
          <w:b w:val="0"/>
          <w:color w:val="2B2B2B"/>
          <w:sz w:val="22"/>
        </w:rPr>
        <w:t>consistency between sections. They were also, and this is the subject of the report itself, used as</w:t>
      </w:r>
    </w:p>
    <w:p>
      <w:r>
        <w:rPr>
          <w:rFonts w:ascii="Calibri" w:hAnsi="Calibri"/>
          <w:b w:val="0"/>
          <w:color w:val="2B2B2B"/>
          <w:sz w:val="22"/>
        </w:rPr>
        <w:t>the layer-3 component of the system described. No tool generated data, measurements or bibliographic</w:t>
      </w:r>
    </w:p>
    <w:p>
      <w:r>
        <w:rPr>
          <w:rFonts w:ascii="Calibri" w:hAnsi="Calibri"/>
          <w:b w:val="0"/>
          <w:color w:val="2B2B2B"/>
          <w:sz w:val="22"/>
        </w:rPr>
        <w:t>references that were not individually verified by the author. The author accepts full responsibility</w:t>
      </w:r>
    </w:p>
    <w:p>
      <w:r>
        <w:rPr>
          <w:rFonts w:ascii="Calibri" w:hAnsi="Calibri"/>
          <w:b w:val="0"/>
          <w:color w:val="2B2B2B"/>
          <w:sz w:val="22"/>
        </w:rPr>
        <w:t>for the content of this manuscript.</w:t>
      </w:r>
    </w:p>
    <w:p>
      <w:r>
        <w:rPr>
          <w:rFonts w:ascii="Calibri" w:hAnsi="Calibri"/>
          <w:b/>
          <w:color w:val="2B2B2B"/>
          <w:sz w:val="22"/>
        </w:rPr>
        <w:t>Personal data.</w:t>
      </w:r>
      <w:r>
        <w:rPr>
          <w:rFonts w:ascii="Calibri" w:hAnsi="Calibri"/>
          <w:b w:val="0"/>
          <w:color w:val="2B2B2B"/>
          <w:sz w:val="22"/>
        </w:rPr>
        <w:t xml:space="preserve"> This manuscript contains no personally identifying information about students.</w:t>
      </w:r>
    </w:p>
    <w:p>
      <w:r>
        <w:rPr>
          <w:rFonts w:ascii="Calibri" w:hAnsi="Calibri"/>
          <w:b w:val="0"/>
          <w:color w:val="2B2B2B"/>
          <w:sz w:val="22"/>
        </w:rPr>
        <w:t>No student record, identifier or work product is reproduced.</w:t>
      </w:r>
    </w:p>
    <w:p>
      <w:r>
        <w:rPr>
          <w:rFonts w:ascii="Calibri" w:hAnsi="Calibri"/>
          <w:b/>
          <w:color w:val="2B2B2B"/>
          <w:sz w:val="22"/>
        </w:rPr>
        <w:t>Ethics.</w:t>
      </w:r>
      <w:r>
        <w:rPr>
          <w:rFonts w:ascii="Calibri" w:hAnsi="Calibri"/>
          <w:b w:val="0"/>
          <w:color w:val="2B2B2B"/>
          <w:sz w:val="22"/>
        </w:rPr>
        <w:t xml:space="preserve"> This report describes an authoring system operated by the author and does not involve</w:t>
      </w:r>
    </w:p>
    <w:p>
      <w:r>
        <w:rPr>
          <w:rFonts w:ascii="Calibri" w:hAnsi="Calibri"/>
          <w:b w:val="0"/>
          <w:color w:val="2B2B2B"/>
          <w:sz w:val="22"/>
        </w:rPr>
        <w:t>research with human subjects. No data were collected from students, and no intervention was applied</w:t>
      </w:r>
    </w:p>
    <w:p>
      <w:r>
        <w:rPr>
          <w:rFonts w:ascii="Calibri" w:hAnsi="Calibri"/>
          <w:b w:val="0"/>
          <w:color w:val="2B2B2B"/>
          <w:sz w:val="22"/>
        </w:rPr>
        <w:t>to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