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Parcial 2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· Cuestionario · 21% de la nota (corte 2)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(https://cdigital.cun.edu.co/course/view.php?id=111070)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del curso: artículo de nuevo conocimiento,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10 de septiembre de 2026</w:t>
      </w:r>
      <w:r>
        <w:rPr>
          <w:rFonts w:ascii="Calibri" w:hAnsi="Calibri"/>
          <w:b w:val="0"/>
          <w:color w:val="2B2B2B"/>
          <w:sz w:val="22"/>
        </w:rPr>
        <w:t xml:space="preserve"> (jue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04/09/2026 – cierre 10/09/2026 · </w:t>
      </w:r>
      <w:r>
        <w:rPr>
          <w:rFonts w:ascii="Calibri" w:hAnsi="Calibri"/>
          <w:b/>
          <w:color w:val="2B2B2B"/>
          <w:sz w:val="22"/>
        </w:rPr>
        <w:t>21%</w:t>
      </w:r>
      <w:r>
        <w:rPr>
          <w:rFonts w:ascii="Calibri" w:hAnsi="Calibri"/>
          <w:b w:val="0"/>
          <w:color w:val="2B2B2B"/>
          <w:sz w:val="22"/>
        </w:rPr>
        <w:t xml:space="preserve"> de la nota (corte 2).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Parcial 2 = 21%</w:t>
      </w:r>
      <w:r>
        <w:rPr>
          <w:rFonts w:ascii="Calibri" w:hAnsi="Calibri"/>
          <w:b w:val="0"/>
          <w:color w:val="2B2B2B"/>
          <w:sz w:val="22"/>
        </w:rPr>
        <w:t xml:space="preserve"> de la nota del curso (corte 2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2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9%.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(10/09/2026)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(20/08/2026) — MinCiencias · 6 líneas de Ingeniería · elección de línea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(27/08/2026) — Prueba parcial · 1.er avance del artículo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(03/09/2026) — Problema y pregunta · bases de datos y gestores de citas</w:t>
      </w:r>
    </w:p>
    <w:p>
      <w:r>
        <w:rPr>
          <w:rFonts w:ascii="Calibri" w:hAnsi="Calibri"/>
          <w:b/>
          <w:color w:val="2B2B2B"/>
          <w:sz w:val="22"/>
        </w:rPr>
        <w:t>Nuevo desde el cierre de Quiz 2</w:t>
      </w:r>
      <w:r>
        <w:rPr>
          <w:rFonts w:ascii="Calibri" w:hAnsi="Calibri"/>
          <w:b w:val="0"/>
          <w:color w:val="2B2B2B"/>
          <w:sz w:val="22"/>
        </w:rPr>
        <w:t xml:space="preserve"> (03/09/2026): Sesión 04.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(10/09/2026 — Planteamiento del problema · marco teórico y revisión de literatura)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(Syllabus y producto final · fundamentos del método científico)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fundamentos del método científico y producto final del curso): ten claras las etapas del método y qué es un artículo de nuevo conocimiento. Es la base de todo lo demás.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MinCiencias · 6 líneas de Ingeniería · elección de línea:</w:t>
      </w:r>
      <w:r>
        <w:rPr>
          <w:rFonts w:ascii="Calibri" w:hAnsi="Calibri"/>
          <w:b w:val="0"/>
          <w:color w:val="2B2B2B"/>
          <w:sz w:val="22"/>
        </w:rPr>
        <w:t xml:space="preserve"> Ten memorizadas las </w:t>
      </w:r>
      <w:r>
        <w:rPr>
          <w:rFonts w:ascii="Calibri" w:hAnsi="Calibri"/>
          <w:b/>
          <w:color w:val="2B2B2B"/>
          <w:sz w:val="22"/>
        </w:rPr>
        <w:t>6 líneas de Ingeniería</w:t>
      </w:r>
      <w:r>
        <w:rPr>
          <w:rFonts w:ascii="Calibri" w:hAnsi="Calibri"/>
          <w:b w:val="0"/>
          <w:color w:val="2B2B2B"/>
          <w:sz w:val="22"/>
        </w:rPr>
        <w:t xml:space="preserve"> de MinCiencias (IoT, Big Data, IA, cloud/FinTech, aplicaciones, telemática) y ten claro </w:t>
      </w:r>
      <w:r>
        <w:rPr>
          <w:rFonts w:ascii="Calibri" w:hAnsi="Calibri"/>
          <w:b/>
          <w:color w:val="2B2B2B"/>
          <w:sz w:val="22"/>
        </w:rPr>
        <w:t>en cuál</w:t>
      </w:r>
      <w:r>
        <w:rPr>
          <w:rFonts w:ascii="Calibri" w:hAnsi="Calibri"/>
          <w:b w:val="0"/>
          <w:color w:val="2B2B2B"/>
          <w:sz w:val="22"/>
        </w:rPr>
        <w:t xml:space="preserve"> se ubica tu tema y por qué.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Prueba parcial · 1.er avance del artículo: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tipos de conocimiento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tipos de fuente</w:t>
      </w:r>
      <w:r>
        <w:rPr>
          <w:rFonts w:ascii="Calibri" w:hAnsi="Calibri"/>
          <w:b w:val="0"/>
          <w:color w:val="2B2B2B"/>
          <w:sz w:val="22"/>
        </w:rPr>
        <w:t xml:space="preserve">, y qué hace </w:t>
      </w:r>
      <w:r>
        <w:rPr>
          <w:rFonts w:ascii="Calibri" w:hAnsi="Calibri"/>
          <w:b/>
          <w:color w:val="2B2B2B"/>
          <w:sz w:val="22"/>
        </w:rPr>
        <w:t>confiable</w:t>
      </w:r>
      <w:r>
        <w:rPr>
          <w:rFonts w:ascii="Calibri" w:hAnsi="Calibri"/>
          <w:b w:val="0"/>
          <w:color w:val="2B2B2B"/>
          <w:sz w:val="22"/>
        </w:rPr>
        <w:t xml:space="preserve"> a una fuente: quién la firma, dónde se publicó y de cuándo es.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Problema y pregunta · bases de datos y gestores de citas:</w:t>
      </w:r>
      <w:r>
        <w:rPr>
          <w:rFonts w:ascii="Calibri" w:hAnsi="Calibri"/>
          <w:b w:val="0"/>
          <w:color w:val="2B2B2B"/>
          <w:sz w:val="22"/>
        </w:rPr>
        <w:t xml:space="preserve"> Son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unidades en un encuentro y las dos se preguntan. (a) </w:t>
      </w:r>
      <w:r>
        <w:rPr>
          <w:rFonts w:ascii="Calibri" w:hAnsi="Calibri"/>
          <w:b/>
          <w:color w:val="2B2B2B"/>
          <w:sz w:val="22"/>
        </w:rPr>
        <w:t>Espina de pescado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alibri" w:hAnsi="Calibri"/>
          <w:b/>
          <w:color w:val="2B2B2B"/>
          <w:sz w:val="22"/>
        </w:rPr>
        <w:t>árbol de problemas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método 3D</w:t>
      </w:r>
      <w:r>
        <w:rPr>
          <w:rFonts w:ascii="Calibri" w:hAnsi="Calibri"/>
          <w:b w:val="0"/>
          <w:color w:val="2B2B2B"/>
          <w:sz w:val="22"/>
        </w:rPr>
        <w:t xml:space="preserve"> para pasar del síntoma a la causa y de la causa a una pregunta viable; ten claro con tus palabras que </w:t>
      </w:r>
      <w:r>
        <w:rPr>
          <w:rFonts w:ascii="Calibri" w:hAnsi="Calibri"/>
          <w:b/>
          <w:color w:val="2B2B2B"/>
          <w:sz w:val="22"/>
        </w:rPr>
        <w:t>problema ≠ pregunta ≠ objetivo</w:t>
      </w:r>
      <w:r>
        <w:rPr>
          <w:rFonts w:ascii="Calibri" w:hAnsi="Calibri"/>
          <w:b w:val="0"/>
          <w:color w:val="2B2B2B"/>
          <w:sz w:val="22"/>
        </w:rPr>
        <w:t xml:space="preserve">. (b) Búsqueda en </w:t>
      </w:r>
      <w:r>
        <w:rPr>
          <w:rFonts w:ascii="Calibri" w:hAnsi="Calibri"/>
          <w:b/>
          <w:color w:val="2B2B2B"/>
          <w:sz w:val="22"/>
        </w:rPr>
        <w:t>biblioteca CUN, Scholar, SciELO y Redalyc</w:t>
      </w:r>
      <w:r>
        <w:rPr>
          <w:rFonts w:ascii="Calibri" w:hAnsi="Calibri"/>
          <w:b w:val="0"/>
          <w:color w:val="2B2B2B"/>
          <w:sz w:val="22"/>
        </w:rPr>
        <w:t xml:space="preserve"> con </w:t>
      </w:r>
      <w:r>
        <w:rPr>
          <w:rFonts w:ascii="Calibri" w:hAnsi="Calibri"/>
          <w:b/>
          <w:color w:val="2B2B2B"/>
          <w:sz w:val="22"/>
        </w:rPr>
        <w:t>operadores</w:t>
      </w:r>
      <w:r>
        <w:rPr>
          <w:rFonts w:ascii="Calibri" w:hAnsi="Calibri"/>
          <w:b w:val="0"/>
          <w:color w:val="2B2B2B"/>
          <w:sz w:val="22"/>
        </w:rPr>
        <w:t xml:space="preserve"> (comillas, AND/OR, filtro por año), para qué sirve un gestor de citas (</w:t>
      </w:r>
      <w:r>
        <w:rPr>
          <w:rFonts w:ascii="Calibri" w:hAnsi="Calibri"/>
          <w:b/>
          <w:color w:val="2B2B2B"/>
          <w:sz w:val="22"/>
        </w:rPr>
        <w:t>ZoteroBib</w:t>
      </w:r>
      <w:r>
        <w:rPr>
          <w:rFonts w:ascii="Calibri" w:hAnsi="Calibri"/>
          <w:b w:val="0"/>
          <w:color w:val="2B2B2B"/>
          <w:sz w:val="22"/>
        </w:rPr>
        <w:t xml:space="preserve">) y cómo se cita en </w:t>
      </w:r>
      <w:r>
        <w:rPr>
          <w:rFonts w:ascii="Calibri" w:hAnsi="Calibri"/>
          <w:b/>
          <w:color w:val="2B2B2B"/>
          <w:sz w:val="22"/>
        </w:rPr>
        <w:t>APA 7</w:t>
      </w:r>
      <w:r>
        <w:rPr>
          <w:rFonts w:ascii="Calibri" w:hAnsi="Calibri"/>
          <w:b w:val="0"/>
          <w:color w:val="2B2B2B"/>
          <w:sz w:val="22"/>
        </w:rPr>
        <w:t>: cita en texto frente a referencia final.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línea y tu propio tema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(21%)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(Cuestionario, 21%).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03/09/2026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(Planteamiento del problema · marco teórico y revisión de literatura),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(Problema y pregunta · bases de datos y gestores de citas). Con el Quiz 2 cierra el corte 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