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C2340"/>
          <w:sz w:val="44"/>
        </w:rPr>
        <w:t>Aprendizaje automático supervisado para la predicción temprana de deserción académica en educación superior colombiana: protocolo reproducible para una evaluación comparativa sobre un conjunto de datos sintético</w:t>
      </w:r>
    </w:p>
    <w:p>
      <w:r>
        <w:rPr>
          <w:rFonts w:ascii="Calibri" w:hAnsi="Calibri"/>
          <w:b/>
          <w:color w:val="2B2B2B"/>
          <w:sz w:val="22"/>
        </w:rPr>
        <w:t>Supervised machine learning for the early prediction of student dropout in Colombian higher education: a reproducible protocol for a comparative evaluation on a synthetic dataset</w:t>
      </w:r>
    </w:p>
    <w:p>
      <w:r>
        <w:rPr>
          <w:rFonts w:ascii="Calibri" w:hAnsi="Calibri"/>
          <w:b/>
          <w:color w:val="2B2B2B"/>
          <w:sz w:val="22"/>
        </w:rPr>
        <w:t>Autor de correspondencia</w:t>
      </w:r>
    </w:p>
    <w:p>
      <w:r>
        <w:rPr>
          <w:rFonts w:ascii="Calibri" w:hAnsi="Calibri"/>
          <w:b w:val="0"/>
          <w:color w:val="2B2B2B"/>
          <w:sz w:val="22"/>
        </w:rPr>
        <w:t>Julian Andrés Castaño Espinosa</w:t>
      </w:r>
    </w:p>
    <w:p>
      <w:r>
        <w:rPr>
          <w:rFonts w:ascii="Calibri" w:hAnsi="Calibri"/>
          <w:b w:val="0"/>
          <w:color w:val="2B2B2B"/>
          <w:sz w:val="22"/>
        </w:rPr>
        <w:t>Escuela de Ingenierías, Corporación Unificada Nacional de Educación Superior — CUN</w:t>
      </w:r>
    </w:p>
    <w:p>
      <w:r>
        <w:rPr>
          <w:rFonts w:ascii="Calibri" w:hAnsi="Calibri"/>
          <w:b w:val="0"/>
          <w:color w:val="2B2B2B"/>
          <w:sz w:val="22"/>
        </w:rPr>
        <w:t>Bogotá, Colombia</w:t>
      </w:r>
    </w:p>
    <w:p>
      <w:r>
        <w:rPr>
          <w:rFonts w:ascii="Calibri" w:hAnsi="Calibri"/>
          <w:b w:val="0"/>
          <w:color w:val="2B2B2B"/>
          <w:sz w:val="22"/>
        </w:rPr>
        <w:t>julian_castanoe@cun.edu.co</w:t>
      </w:r>
    </w:p>
    <w:p>
      <w:r>
        <w:rPr>
          <w:rFonts w:ascii="Calibri" w:hAnsi="Calibri"/>
          <w:b w:val="0"/>
          <w:color w:val="2B2B2B"/>
          <w:sz w:val="22"/>
        </w:rPr>
        <w:t>ORCID: https://orcid.org/0009-0003-6598-432X</w:t>
      </w:r>
    </w:p>
    <w:p>
      <w:r>
        <w:rPr>
          <w:rFonts w:ascii="Calibri" w:hAnsi="Calibri"/>
          <w:b/>
          <w:color w:val="2B2B2B"/>
          <w:sz w:val="22"/>
        </w:rPr>
        <w:t>Autoría:</w:t>
      </w:r>
      <w:r>
        <w:rPr>
          <w:rFonts w:ascii="Calibri" w:hAnsi="Calibri"/>
          <w:b w:val="0"/>
          <w:color w:val="2B2B2B"/>
          <w:sz w:val="22"/>
        </w:rPr>
        <w:t xml:space="preserve"> este protocolo lo firma un único autor. Los integrantes del semillero que</w:t>
      </w:r>
    </w:p>
    <w:p>
      <w:r>
        <w:rPr>
          <w:rFonts w:ascii="Calibri" w:hAnsi="Calibri"/>
          <w:b w:val="0"/>
          <w:color w:val="2B2B2B"/>
          <w:sz w:val="22"/>
        </w:rPr>
        <w:t>participen efectivamente en la ejecución se incorporarán como coautores en la publicación</w:t>
      </w:r>
    </w:p>
    <w:p>
      <w:r>
        <w:rPr>
          <w:rFonts w:ascii="Calibri" w:hAnsi="Calibri"/>
          <w:b w:val="0"/>
          <w:color w:val="2B2B2B"/>
          <w:sz w:val="22"/>
        </w:rPr>
        <w:t>de resultados, con arreglo a los criterios de autoría del ICMJE y previa autorización</w:t>
      </w:r>
    </w:p>
    <w:p>
      <w:r>
        <w:rPr>
          <w:rFonts w:ascii="Calibri" w:hAnsi="Calibri"/>
          <w:b w:val="0"/>
          <w:color w:val="2B2B2B"/>
          <w:sz w:val="22"/>
        </w:rPr>
        <w:t>expresa y por escrito de cada uno.</w:t>
      </w:r>
    </w:p>
    <w:p>
      <w:r>
        <w:rPr>
          <w:rFonts w:ascii="Calibri" w:hAnsi="Calibri"/>
          <w:b/>
          <w:color w:val="2B2B2B"/>
          <w:sz w:val="22"/>
        </w:rPr>
        <w:t>Filiación institucional del trabajo:</w:t>
      </w:r>
      <w:r>
        <w:rPr>
          <w:rFonts w:ascii="Calibri" w:hAnsi="Calibri"/>
          <w:b w:val="0"/>
          <w:color w:val="2B2B2B"/>
          <w:sz w:val="22"/>
        </w:rPr>
        <w:t xml:space="preserve"> Semillero de Investigación en Inteligencia Artificial</w:t>
      </w:r>
    </w:p>
    <w:p>
      <w:r>
        <w:rPr>
          <w:rFonts w:ascii="Calibri" w:hAnsi="Calibri"/>
          <w:b w:val="0"/>
          <w:color w:val="2B2B2B"/>
          <w:sz w:val="22"/>
        </w:rPr>
        <w:t>Aplicada a la Educación Superior (SIAES), Escuela de Ingenierías, CUN. Convocatoria interna</w:t>
      </w:r>
    </w:p>
    <w:p>
      <w:r>
        <w:rPr>
          <w:rFonts w:ascii="Calibri" w:hAnsi="Calibri"/>
          <w:b w:val="0"/>
          <w:color w:val="2B2B2B"/>
          <w:sz w:val="22"/>
        </w:rPr>
        <w:t>CUN 2026 — Desarrollo de Grupos Temáticos de Investigación, Fase II.</w:t>
      </w:r>
    </w:p>
    <w:p>
      <w:pPr>
        <w:spacing w:before="200" w:after="60"/>
      </w:pPr>
      <w:r>
        <w:rPr>
          <w:rFonts w:ascii="Calibri" w:hAnsi="Calibri"/>
          <w:b/>
          <w:color w:val="0C2340"/>
          <w:sz w:val="32"/>
        </w:rPr>
        <w:t>AGRADECIMIENTOS Y DECLARACIONES</w:t>
      </w:r>
    </w:p>
    <w:p>
      <w:r>
        <w:rPr>
          <w:rFonts w:ascii="Calibri" w:hAnsi="Calibri"/>
          <w:b/>
          <w:color w:val="2B2B2B"/>
          <w:sz w:val="22"/>
        </w:rPr>
        <w:t>Financiación.</w:t>
      </w:r>
      <w:r>
        <w:rPr>
          <w:rFonts w:ascii="Calibri" w:hAnsi="Calibri"/>
          <w:b w:val="0"/>
          <w:color w:val="2B2B2B"/>
          <w:sz w:val="22"/>
        </w:rPr>
        <w:t xml:space="preserve"> Este trabajo se desarrolla en el marco de la Convocatoria interna CUN 2026 —</w:t>
      </w:r>
    </w:p>
    <w:p>
      <w:r>
        <w:rPr>
          <w:rFonts w:ascii="Calibri" w:hAnsi="Calibri"/>
          <w:b w:val="0"/>
          <w:color w:val="2B2B2B"/>
          <w:sz w:val="22"/>
        </w:rPr>
        <w:t>Desarrollo de Grupos Temáticos de Investigación, Fase II, de la Corporación Unificada Nacional de</w:t>
      </w:r>
    </w:p>
    <w:p>
      <w:r>
        <w:rPr>
          <w:rFonts w:ascii="Calibri" w:hAnsi="Calibri"/>
          <w:b w:val="0"/>
          <w:color w:val="2B2B2B"/>
          <w:sz w:val="22"/>
        </w:rPr>
        <w:t>Educación Superior. Trabajo adscrito a la convocatoria interna CUN 2026, Fase II. Sin financiación externa.</w:t>
      </w:r>
    </w:p>
    <w:p>
      <w:r>
        <w:rPr>
          <w:rFonts w:ascii="Calibri" w:hAnsi="Calibri"/>
          <w:b/>
          <w:color w:val="2B2B2B"/>
          <w:sz w:val="22"/>
        </w:rPr>
        <w:t>Contribución de los autores.</w:t>
      </w:r>
      <w:r>
        <w:rPr>
          <w:rFonts w:ascii="Calibri" w:hAnsi="Calibri"/>
          <w:b w:val="0"/>
          <w:color w:val="2B2B2B"/>
          <w:sz w:val="22"/>
        </w:rPr>
        <w:t xml:space="preserve"> Conceptualización, metodología, redacción del borrador original y redacción con revisión y edición: el autor único firmante.</w:t>
      </w:r>
    </w:p>
    <w:p>
      <w:r>
        <w:rPr>
          <w:rFonts w:ascii="Calibri" w:hAnsi="Calibri"/>
          <w:b/>
          <w:color w:val="2B2B2B"/>
          <w:sz w:val="22"/>
        </w:rPr>
        <w:t>Conflicto de intereses.</w:t>
      </w:r>
      <w:r>
        <w:rPr>
          <w:rFonts w:ascii="Calibri" w:hAnsi="Calibri"/>
          <w:b w:val="0"/>
          <w:color w:val="2B2B2B"/>
          <w:sz w:val="22"/>
        </w:rPr>
        <w:t xml:space="preserve"> Los autores declaran no tener conflictos de intereses.</w:t>
      </w:r>
    </w:p>
    <w:p>
      <w:r>
        <w:rPr>
          <w:rFonts w:ascii="Calibri" w:hAnsi="Calibri"/>
          <w:b/>
          <w:color w:val="2B2B2B"/>
          <w:sz w:val="22"/>
        </w:rPr>
        <w:t>Disponibilidad de datos y código.</w:t>
      </w:r>
      <w:r>
        <w:rPr>
          <w:rFonts w:ascii="Calibri" w:hAnsi="Calibri"/>
          <w:b w:val="0"/>
          <w:color w:val="2B2B2B"/>
          <w:sz w:val="22"/>
        </w:rPr>
        <w:t xml:space="preserve"> La URL del repositorio y el identificador persistente del conjunto sintético se publicarán junto con los resultados.</w:t>
      </w:r>
    </w:p>
    <w:p>
      <w:pPr>
        <w:spacing w:before="200" w:after="60"/>
      </w:pPr>
      <w:r>
        <w:rPr>
          <w:rFonts w:ascii="Calibri" w:hAnsi="Calibri"/>
          <w:b/>
          <w:color w:val="0C2340"/>
          <w:sz w:val="32"/>
        </w:rPr>
        <w:t>Declaración de uso de Inteligencia Artificial</w:t>
      </w:r>
    </w:p>
    <w:p>
      <w:r>
        <w:rPr>
          <w:rFonts w:ascii="Calibri" w:hAnsi="Calibri"/>
          <w:b/>
          <w:color w:val="2B2B2B"/>
          <w:sz w:val="22"/>
        </w:rPr>
        <w:t>Declaración de uso de Inteligencia Artificial / Declaração de uso de Inteligência Artificial / Declaration on the use of Artificial Intelligence.</w:t>
      </w:r>
      <w:r>
        <w:rPr>
          <w:rFonts w:ascii="Calibri" w:hAnsi="Calibri"/>
          <w:b w:val="0"/>
          <w:color w:val="2B2B2B"/>
          <w:sz w:val="22"/>
        </w:rPr>
        <w:t xml:space="preserve"> En la elaboración de este manuscrito se emplearon asistentes de inteligencia artificial generativa —Claude (Anthropic) y ChatGPT (OpenAI)— para tres tareas acotadas: apoyo en la identificación y depuración de referentes bibliográficos, redacción y edición de borradores de secciones, y verificación de consistencia interna entre objetivos, metodología y plan de análisis. Ninguna de las herramientas generó datos, resultados experimentales ni referencias bibliográficas que no hayan sido verificadas individualmente por el autor. El autor asume la responsabilidad plena por el contenido del manuscrito. El detalle metodológico de este uso se amplía en la sección 3.12.</w:t>
      </w:r>
    </w:p>
    <w:p>
      <w:r>
        <w:rPr>
          <w:rFonts w:ascii="Calibri" w:hAnsi="Calibri"/>
          <w:b/>
          <w:color w:val="2B2B2B"/>
          <w:sz w:val="22"/>
        </w:rPr>
        <w:t>Datos personales.</w:t>
      </w:r>
      <w:r>
        <w:rPr>
          <w:rFonts w:ascii="Calibri" w:hAnsi="Calibri"/>
          <w:b w:val="0"/>
          <w:color w:val="2B2B2B"/>
          <w:sz w:val="22"/>
        </w:rPr>
        <w:t xml:space="preserve"> Este manuscrito no contiene datos de identificación personal de estudiantes.</w:t>
      </w:r>
    </w:p>
    <w:p>
      <w:r>
        <w:rPr>
          <w:rFonts w:ascii="Calibri" w:hAnsi="Calibri"/>
          <w:b w:val="0"/>
          <w:color w:val="2B2B2B"/>
          <w:sz w:val="22"/>
        </w:rPr>
        <w:t>El conjunto de datos empleado es sintético y no deriva de registros de personas reales.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