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25/08/2026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29/09/2026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investigación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07/11/2026 / 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(32%) - Articulo de investigacion.docx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 / 17/11/2026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(2%)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10/11/2026 / 17/11/2026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(2%)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 / 17/11/2026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(2%)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10/11/2026 / 17/11/2026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(2%)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(2%)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