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15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08/09/2026 – cierre 15/09/2026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(15/09/2026)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(25/08/2026): Sesión 03, Sesión 04, Sesión 05.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 — Comunidades de práctica y co-creación)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artículo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artículo</w:t>
      </w:r>
      <w:r>
        <w:rPr>
          <w:rFonts w:ascii="Calibri" w:hAnsi="Calibri"/>
          <w:b w:val="0"/>
          <w:color w:val="2B2B2B"/>
          <w:sz w:val="22"/>
        </w:rPr>
        <w:t xml:space="preserve">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(Comunidades de práctica y co-creación),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(Formulación de pregunta, objetivos y título) a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(Diseño de instrumento · desarrollo metodológico). Es el parcial del corte 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