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2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· Cuestionario · 9% de la nota (corte 2)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artículo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Artículo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 · Grupos 54450 /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29 de septiembre de 2026</w:t>
      </w:r>
      <w:r>
        <w:rPr>
          <w:rFonts w:ascii="Calibri" w:hAnsi="Calibri"/>
          <w:b w:val="0"/>
          <w:color w:val="2B2B2B"/>
          <w:sz w:val="22"/>
        </w:rPr>
        <w:t xml:space="preserve"> (mar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22/09/2026 – cierre 29/09/2026 · </w:t>
      </w:r>
      <w:r>
        <w:rPr>
          <w:rFonts w:ascii="Calibri" w:hAnsi="Calibri"/>
          <w:b/>
          <w:color w:val="2B2B2B"/>
          <w:sz w:val="22"/>
        </w:rPr>
        <w:t>9%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2 = 9%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2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21%.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(29/09/2026)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(18/08/2026) — Formulación de pregunta, objetivos y título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(25/08/2026) — Estructura del artículo · taller de introducción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(01/09/2026) — Fase I de referentes de investigación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(08/09/2026) — Diseño de instrumento · desarrollo metodológico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(15/09/2026) — Comunidades de práctica y co-creación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(22/09/2026) — Experiencia creativa · análisis de datos</w:t>
      </w:r>
    </w:p>
    <w:p>
      <w:r>
        <w:rPr>
          <w:rFonts w:ascii="Calibri" w:hAnsi="Calibri"/>
          <w:b/>
          <w:color w:val="2B2B2B"/>
          <w:sz w:val="22"/>
        </w:rPr>
        <w:t>Nuevo desde el cierre de Parcial 1</w:t>
      </w:r>
      <w:r>
        <w:rPr>
          <w:rFonts w:ascii="Calibri" w:hAnsi="Calibri"/>
          <w:b w:val="0"/>
          <w:color w:val="2B2B2B"/>
          <w:sz w:val="22"/>
        </w:rPr>
        <w:t xml:space="preserve"> (15/09/2026): Sesión 06, Sesión 07.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 (29/09/2026 — Fase III de referentes · cierre del marco teórico)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(Casos de éxito · retomar proyecto · contexto y planteamiento)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casos de éxito · retomar el proyecto · contexto y planteamiento): ten a la vista el contexto y el planteamiento que ya escribiste.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Formulación de pregunta, objetivos y título: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</w:t>
      </w:r>
      <w:r>
        <w:rPr>
          <w:rFonts w:ascii="Calibri" w:hAnsi="Calibri"/>
          <w:b w:val="0"/>
          <w:color w:val="2B2B2B"/>
          <w:sz w:val="22"/>
        </w:rPr>
        <w:t xml:space="preserve"> e identifica las </w:t>
      </w:r>
      <w:r>
        <w:rPr>
          <w:rFonts w:ascii="Calibri" w:hAnsi="Calibri"/>
          <w:b/>
          <w:color w:val="2B2B2B"/>
          <w:sz w:val="22"/>
        </w:rPr>
        <w:t>variables</w:t>
      </w:r>
      <w:r>
        <w:rPr>
          <w:rFonts w:ascii="Calibri" w:hAnsi="Calibri"/>
          <w:b w:val="0"/>
          <w:color w:val="2B2B2B"/>
          <w:sz w:val="22"/>
        </w:rPr>
        <w:t xml:space="preserve"> que aparecen en la pregunta-problema.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Estructura del artículo · taller de introducción:</w:t>
      </w:r>
      <w:r>
        <w:rPr>
          <w:rFonts w:ascii="Calibri" w:hAnsi="Calibri"/>
          <w:b w:val="0"/>
          <w:color w:val="2B2B2B"/>
          <w:sz w:val="22"/>
        </w:rPr>
        <w:t xml:space="preserve"> Ten clara la </w:t>
      </w:r>
      <w:r>
        <w:rPr>
          <w:rFonts w:ascii="Calibri" w:hAnsi="Calibri"/>
          <w:b/>
          <w:color w:val="2B2B2B"/>
          <w:sz w:val="22"/>
        </w:rPr>
        <w:t>estructura del artículo</w:t>
      </w:r>
      <w:r>
        <w:rPr>
          <w:rFonts w:ascii="Calibri" w:hAnsi="Calibri"/>
          <w:b w:val="0"/>
          <w:color w:val="2B2B2B"/>
          <w:sz w:val="22"/>
        </w:rPr>
        <w:t xml:space="preserve"> y qué va en la introducción: contexto, problema, pregunta y objetivos.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Fase I de referentes de investigación: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referente</w:t>
      </w:r>
      <w:r>
        <w:rPr>
          <w:rFonts w:ascii="Calibri" w:hAnsi="Calibri"/>
          <w:b w:val="0"/>
          <w:color w:val="2B2B2B"/>
          <w:sz w:val="22"/>
        </w:rPr>
        <w:t xml:space="preserve"> (Fase I) y cómo se elige: pertinencia, vigencia y relación con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Diseño de instrumento · desarrollo metodológico:</w:t>
      </w:r>
      <w:r>
        <w:rPr>
          <w:rFonts w:ascii="Calibri" w:hAnsi="Calibri"/>
          <w:b w:val="0"/>
          <w:color w:val="2B2B2B"/>
          <w:sz w:val="22"/>
        </w:rPr>
        <w:t xml:space="preserve"> Ten claro qué </w:t>
      </w:r>
      <w:r>
        <w:rPr>
          <w:rFonts w:ascii="Calibri" w:hAnsi="Calibri"/>
          <w:b/>
          <w:color w:val="2B2B2B"/>
          <w:sz w:val="22"/>
        </w:rPr>
        <w:t>instrumento</w:t>
      </w:r>
      <w:r>
        <w:rPr>
          <w:rFonts w:ascii="Calibri" w:hAnsi="Calibri"/>
          <w:b w:val="0"/>
          <w:color w:val="2B2B2B"/>
          <w:sz w:val="22"/>
        </w:rPr>
        <w:t xml:space="preserve"> (o prototipado / obra-creación) diseñaste, qué mide y cómo encaja en tu ruta metodológica.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 — Comunidades de práctica y co-creación:</w:t>
      </w:r>
      <w:r>
        <w:rPr>
          <w:rFonts w:ascii="Calibri" w:hAnsi="Calibri"/>
          <w:b w:val="0"/>
          <w:color w:val="2B2B2B"/>
          <w:sz w:val="22"/>
        </w:rPr>
        <w:t xml:space="preserve"> Ten claro qué es una </w:t>
      </w:r>
      <w:r>
        <w:rPr>
          <w:rFonts w:ascii="Calibri" w:hAnsi="Calibri"/>
          <w:b/>
          <w:color w:val="2B2B2B"/>
          <w:sz w:val="22"/>
        </w:rPr>
        <w:t>comunidad de práctica</w:t>
      </w:r>
      <w:r>
        <w:rPr>
          <w:rFonts w:ascii="Calibri" w:hAnsi="Calibri"/>
          <w:b w:val="0"/>
          <w:color w:val="2B2B2B"/>
          <w:sz w:val="22"/>
        </w:rPr>
        <w:t xml:space="preserve"> y qué aporta la </w:t>
      </w:r>
      <w:r>
        <w:rPr>
          <w:rFonts w:ascii="Calibri" w:hAnsi="Calibri"/>
          <w:b/>
          <w:color w:val="2B2B2B"/>
          <w:sz w:val="22"/>
        </w:rPr>
        <w:t>co-creación</w:t>
      </w:r>
      <w:r>
        <w:rPr>
          <w:rFonts w:ascii="Calibri" w:hAnsi="Calibri"/>
          <w:b w:val="0"/>
          <w:color w:val="2B2B2B"/>
          <w:sz w:val="22"/>
        </w:rPr>
        <w:t xml:space="preserve"> a un proyecto como el tuyo.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 — Experiencia creativa · análisis de datos: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dato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alibri" w:hAnsi="Calibri"/>
          <w:b/>
          <w:color w:val="2B2B2B"/>
          <w:sz w:val="22"/>
        </w:rPr>
        <w:t>hallazgo</w:t>
      </w:r>
      <w:r>
        <w:rPr>
          <w:rFonts w:ascii="Calibri" w:hAnsi="Calibri"/>
          <w:b w:val="0"/>
          <w:color w:val="2B2B2B"/>
          <w:sz w:val="22"/>
        </w:rPr>
        <w:t xml:space="preserve"> e </w:t>
      </w:r>
      <w:r>
        <w:rPr>
          <w:rFonts w:ascii="Calibri" w:hAnsi="Calibri"/>
          <w:b/>
          <w:color w:val="2B2B2B"/>
          <w:sz w:val="22"/>
        </w:rPr>
        <w:t>interpretación</w:t>
      </w:r>
      <w:r>
        <w:rPr>
          <w:rFonts w:ascii="Calibri" w:hAnsi="Calibri"/>
          <w:b w:val="0"/>
          <w:color w:val="2B2B2B"/>
          <w:sz w:val="22"/>
        </w:rPr>
        <w:t xml:space="preserve"> al analizar tu experiencia creativa.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artículo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(9%)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(Cuestionario, 9%).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 / 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 (Fase III de referentes · cierre del marco teórico),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(Experiencia creativa · análisis de datos).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