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04 de octubre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04/10/2026.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(Cronograma_Proyecto_I_II_Especializaciones_26ES4.pdf); no se calculan por pesos.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Construir el </w:t>
      </w:r>
      <w:r>
        <w:rPr>
          <w:rFonts w:ascii="Calibri" w:hAnsi="Calibri"/>
          <w:b/>
          <w:color w:val="2B2B2B"/>
          <w:sz w:val="22"/>
        </w:rPr>
        <w:t>marco referencial</w:t>
      </w:r>
      <w:r>
        <w:rPr>
          <w:rFonts w:ascii="Calibri" w:hAnsi="Calibri"/>
          <w:b w:val="0"/>
          <w:color w:val="2B2B2B"/>
          <w:sz w:val="22"/>
        </w:rPr>
        <w:t xml:space="preserve"> del anteproyecto (ESP329 U4): antecedentes, marco teórico, conceptual, contextual y legal (si aplica), con fuentes académicas de calidad y citación APA 7. Incorporar las correcciones de ACA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las correcciones y observaciones de ACA 1 (trazabilidad visible en el documento).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 de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Si aplica, añade </w:t>
      </w:r>
      <w:r>
        <w:rPr>
          <w:rFonts w:ascii="Calibri" w:hAnsi="Calibri"/>
          <w:b/>
          <w:color w:val="2B2B2B"/>
          <w:sz w:val="22"/>
        </w:rPr>
        <w:t>marco legal / normativo</w:t>
      </w:r>
      <w:r>
        <w:rPr>
          <w:rFonts w:ascii="Calibri" w:hAnsi="Calibri"/>
          <w:b w:val="0"/>
          <w:color w:val="2B2B2B"/>
          <w:sz w:val="22"/>
        </w:rPr>
        <w:t xml:space="preserve"> breve y pertinente.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 (citas en texto + lista final).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“responde” a la pregunta (no es un listado desconectado).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Mismo documento acumulativo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bloque referencial: </w:t>
      </w:r>
      <w:r>
        <w:rPr>
          <w:rFonts w:ascii="Calibri" w:hAnsi="Calibri"/>
          <w:b/>
          <w:color w:val="2B2B2B"/>
          <w:sz w:val="22"/>
        </w:rPr>
        <w:t>8–15 páginas</w:t>
      </w:r>
      <w:r>
        <w:rPr>
          <w:rFonts w:ascii="Calibri" w:hAnsi="Calibri"/>
          <w:b w:val="0"/>
          <w:color w:val="2B2B2B"/>
          <w:sz w:val="22"/>
        </w:rPr>
        <w:t xml:space="preserve"> adicionales o integradas, según profundidad.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Portada con todos los integrantes · un solo envío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de ACA 1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≥ 6 (nacionales e internacionales)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 teórico pertinente y actualizado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Conceptual + contextual claros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de fuentes y citación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con pregunta y objetivos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desarrolla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ACA1 · antecedentes · teórico · conceptual/contextual · legal/APA).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