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instrumento individual de cierre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Qué es:</w:t>
      </w:r>
      <w:r>
        <w:rPr>
          <w:rFonts w:ascii="Calibri" w:hAnsi="Calibri"/>
          <w:b w:val="0"/>
          <w:color w:val="2B2B2B"/>
          <w:sz w:val="22"/>
        </w:rPr>
        <w:t xml:space="preserve"> un </w:t>
      </w:r>
      <w:r>
        <w:rPr>
          <w:rFonts w:ascii="Calibri" w:hAnsi="Calibri"/>
          <w:b/>
          <w:color w:val="2B2B2B"/>
          <w:sz w:val="22"/>
        </w:rPr>
        <w:t>formulario individual</w:t>
      </w:r>
      <w:r>
        <w:rPr>
          <w:rFonts w:ascii="Calibri" w:hAnsi="Calibri"/>
          <w:b w:val="0"/>
          <w:color w:val="2B2B2B"/>
          <w:sz w:val="22"/>
        </w:rPr>
        <w:t xml:space="preserve"> que </w:t>
      </w:r>
      <w:r>
        <w:rPr>
          <w:rFonts w:ascii="Calibri" w:hAnsi="Calibri"/>
          <w:b/>
          <w:color w:val="2B2B2B"/>
          <w:sz w:val="22"/>
        </w:rPr>
        <w:t>tú diligencias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Las ACAs de este curso son </w:t>
      </w:r>
      <w:r>
        <w:rPr>
          <w:rFonts w:ascii="Calibri" w:hAnsi="Calibri"/>
          <w:b/>
          <w:i/>
          <w:color w:val="2B2B2B"/>
          <w:sz w:val="21"/>
        </w:rPr>
        <w:t>tres</w:t>
      </w:r>
      <w:r>
        <w:rPr>
          <w:rFonts w:ascii="Calibri" w:hAnsi="Calibri"/>
          <w:b w:val="0"/>
          <w:i/>
          <w:color w:val="2B2B2B"/>
          <w:sz w:val="21"/>
        </w:rPr>
        <w:t xml:space="preserve"> (ACA 1, ACA 2 y ACA 3). La coevaluación es un </w:t>
      </w:r>
      <w:r>
        <w:rPr>
          <w:rFonts w:ascii="Calibri" w:hAnsi="Calibri"/>
          <w:b/>
          <w:i/>
          <w:color w:val="2B2B2B"/>
          <w:sz w:val="21"/>
        </w:rPr>
        <w:t>instrumento individual de cierre</w:t>
      </w:r>
      <w:r>
        <w:rPr>
          <w:rFonts w:ascii="Calibri" w:hAnsi="Calibri"/>
          <w:b w:val="0"/>
          <w:i/>
          <w:color w:val="2B2B2B"/>
          <w:sz w:val="21"/>
        </w:rPr>
        <w:t xml:space="preserve">: se diligencia dentro de su ventana en CDigital. Si tienes dudas,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el aula.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09/11/2026 – 15/11/2026 (cierra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 individual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única del curso · instrumento de cierre.</w:t>
      </w:r>
    </w:p>
    <w:p>
      <w:r>
        <w:rPr>
          <w:rFonts w:ascii="Calibri" w:hAnsi="Calibri"/>
          <w:b w:val="0"/>
          <w:color w:val="2B2B2B"/>
          <w:sz w:val="22"/>
        </w:rPr>
        <w:t xml:space="preserve">Es un </w:t>
      </w:r>
      <w:r>
        <w:rPr>
          <w:rFonts w:ascii="Calibri" w:hAnsi="Calibri"/>
          <w:b/>
          <w:color w:val="2B2B2B"/>
          <w:sz w:val="22"/>
        </w:rPr>
        <w:t>instrumento que tú diligencias</w:t>
      </w:r>
      <w:r>
        <w:rPr>
          <w:rFonts w:ascii="Calibri" w:hAnsi="Calibri"/>
          <w:b w:val="0"/>
          <w:color w:val="2B2B2B"/>
          <w:sz w:val="22"/>
        </w:rPr>
        <w:t xml:space="preserve"> (tipo formulario) en CDigital para valorar el trabajo colaborativo y los aportes de </w:t>
      </w:r>
      <w:r>
        <w:rPr>
          <w:rFonts w:ascii="Calibri" w:hAnsi="Calibri"/>
          <w:b/>
          <w:color w:val="2B2B2B"/>
          <w:sz w:val="22"/>
        </w:rPr>
        <w:t>tus compañeros de equipo</w:t>
      </w:r>
      <w:r>
        <w:rPr>
          <w:rFonts w:ascii="Calibri" w:hAnsi="Calibri"/>
          <w:b w:val="0"/>
          <w:color w:val="2B2B2B"/>
          <w:sz w:val="22"/>
        </w:rPr>
        <w:t xml:space="preserve"> (máx. 3), con criterio académico y respeto.</w:t>
      </w:r>
    </w:p>
    <w:p>
      <w:r>
        <w:rPr>
          <w:rFonts w:ascii="Calibri" w:hAnsi="Calibri"/>
          <w:b/>
          <w:color w:val="2B2B2B"/>
          <w:sz w:val="22"/>
        </w:rPr>
        <w:t>No es una ACA.</w:t>
      </w:r>
      <w:r>
        <w:rPr>
          <w:rFonts w:ascii="Calibri" w:hAnsi="Calibri"/>
          <w:b w:val="0"/>
          <w:color w:val="2B2B2B"/>
          <w:sz w:val="22"/>
        </w:rPr>
        <w:t xml:space="preserve"> Las ACAs de Proyecto I son </w:t>
      </w:r>
      <w:r>
        <w:rPr>
          <w:rFonts w:ascii="Calibri" w:hAnsi="Calibri"/>
          <w:b/>
          <w:color w:val="2B2B2B"/>
          <w:sz w:val="22"/>
        </w:rPr>
        <w:t>tres</w:t>
      </w:r>
      <w:r>
        <w:rPr>
          <w:rFonts w:ascii="Calibri" w:hAnsi="Calibri"/>
          <w:b w:val="0"/>
          <w:color w:val="2B2B2B"/>
          <w:sz w:val="22"/>
        </w:rPr>
        <w:t xml:space="preserve"> — ACA 1 (25%), ACA 2 (25%) y ACA 3 / anteproyecto consolidado (42%) —, y son entregas documentales por equipo con rúbrica. La coevaluación (4%) y la autoevaluación (4%) completan el 100% de la nota única (Art. 41), pero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son una cuarta ni una quinta ACA: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subes documento ni usas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diligencia el equipo en bloque: cada integrante diligencia la suya.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sustituye la ACA 3</w:t>
      </w:r>
      <w:r>
        <w:rPr>
          <w:rFonts w:ascii="Calibri" w:hAnsi="Calibri"/>
          <w:b w:val="0"/>
          <w:color w:val="2B2B2B"/>
          <w:sz w:val="22"/>
        </w:rPr>
        <w:t xml:space="preserve"> ni cambia la calificación docente de las entregas grupales.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Solo existe en Proyecto I.</w:t>
      </w:r>
      <w:r>
        <w:rPr>
          <w:rFonts w:ascii="Calibri" w:hAnsi="Calibri"/>
          <w:b w:val="0"/>
          <w:color w:val="2B2B2B"/>
          <w:sz w:val="22"/>
        </w:rPr>
        <w:t xml:space="preserve"> No aplica en Proyecto II ni en los cursos de pregrado (Art. 52).</w:t>
      </w:r>
    </w:p>
    <w:p>
      <w:r>
        <w:rPr>
          <w:rFonts w:ascii="Calibri" w:hAnsi="Calibri"/>
          <w:b/>
          <w:color w:val="2B2B2B"/>
          <w:sz w:val="22"/>
        </w:rPr>
        <w:t>Fuente:</w:t>
      </w:r>
      <w:r>
        <w:rPr>
          <w:rFonts w:ascii="Calibri" w:hAnsi="Calibri"/>
          <w:b w:val="0"/>
          <w:color w:val="2B2B2B"/>
          <w:sz w:val="22"/>
        </w:rPr>
        <w:t xml:space="preserve"> ESP329 · Art. 41 Reglamento Estudiantil (nota única) · cronograma AFI / Instructivo Proyecto I (obligatoria al cierre de Proyecto I;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 Proyecto II).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 la diligencia,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sobre sus compañeros de equipo. Nadie la diligencia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([URL CDigital — campus del curso pendiente]),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 (abre justo después de la ACA 3).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se entrega?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Nada por archivo: el registro queda en CDigital al enviar el formulario.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(la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individualmente</w:t>
      </w:r>
      <w:r>
        <w:rPr>
          <w:rFonts w:ascii="Calibri" w:hAnsi="Calibri"/>
          <w:b w:val="0"/>
          <w:color w:val="2B2B2B"/>
          <w:sz w:val="22"/>
        </w:rPr>
        <w:t>, siguiendo las instrucciones y la escala publicadas.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Sé objetivo: 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 (entregas cumplidas, reparto de tareas, calidad de los aportes), nunca la persona.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evidencia si el aula lo permite.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la diligencias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 queda en 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completada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gradebook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la coevaluación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Valoración respetuosa y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Cada integrante diligenció la suya (es individual)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«Coevaluación»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. La ventana cierra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 la de autoevaluación (ver fechas oficiales del periodo).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de este instructivo: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