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carpeta). Evaluación orientativa Art. 52: 30/30/40 — CONFIRMAR en CDigital. Producto: avance consolidado del proyecto/artículo hacia TG3.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05 de octubre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14/09/2026 – cierre 05/10/2026.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Corte 2 · Marco referencial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(orientativo)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>Consolidar antecedentes y marcos (teórico, conceptual, contextual) del avance de grado.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Incorpora retroalimentación del Corte 1.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Amplía </w:t>
      </w:r>
      <w:r>
        <w:rPr>
          <w:rFonts w:ascii="Calibri" w:hAnsi="Calibri"/>
          <w:b/>
          <w:color w:val="2B2B2B"/>
          <w:sz w:val="22"/>
        </w:rPr>
        <w:t>antecedentes / referentes</w:t>
      </w:r>
      <w:r>
        <w:rPr>
          <w:rFonts w:ascii="Calibri" w:hAnsi="Calibri"/>
          <w:b w:val="0"/>
          <w:color w:val="2B2B2B"/>
          <w:sz w:val="22"/>
        </w:rPr>
        <w:t xml:space="preserve"> (Fase I) con bases CUN + Scholar.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Avanza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>, conceptual y contextual.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referencias APA 7.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 acumulativo (plantilla APA CUN).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10–18 páginas</w:t>
      </w:r>
      <w:r>
        <w:rPr>
          <w:rFonts w:ascii="Calibri" w:hAnsi="Calibri"/>
          <w:b w:val="0"/>
          <w:color w:val="2B2B2B"/>
          <w:sz w:val="22"/>
        </w:rPr>
        <w:t xml:space="preserve"> acumuladas.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TG2_ACA2_Apellido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Correcciones previas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Antecedentes pertinentes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Marcos alineados a la pregunta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Citas APA 7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global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CUN / Scholar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05–08</w:t>
      </w:r>
      <w:r>
        <w:rPr>
          <w:rFonts w:ascii="Calibri" w:hAnsi="Calibri"/>
          <w:b w:val="0"/>
          <w:color w:val="2B2B2B"/>
          <w:sz w:val="22"/>
        </w:rPr>
        <w:t xml:space="preserve"> (marco teórico · marco conceptual y contextual · diseño metodológico propuesto · instrumentos y plan de análisis).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