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02 · 26ET2-G-002 — Plataforma digital web y móvil con chat inteligente para la promoción turística de Rivera (Huila)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6:20 – 6:40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Ferney Acosta Quimbaya: ______________________________________________________________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Jhon Alexander Osorio Fernández: 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Einsenwauer Alvarez Gutiérrez: _________________________________________________________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Los números de la ficha son páginas del PDF: el folio impreso va </w:t>
      </w:r>
      <w:r>
        <w:rPr>
          <w:rFonts w:ascii="Calibri" w:hAnsi="Calibri"/>
          <w:b/>
          <w:i/>
          <w:color w:val="2B2B2B"/>
          <w:sz w:val="21"/>
        </w:rPr>
        <w:t>dos por debajo</w:t>
      </w:r>
      <w:r>
        <w:rPr>
          <w:rFonts w:ascii="Calibri" w:hAnsi="Calibri"/>
          <w:b w:val="0"/>
          <w:i/>
          <w:color w:val="2B2B2B"/>
          <w:sz w:val="21"/>
        </w:rPr>
        <w:t>. Al citar en sala, decir el apartado («al cierre del 8.7») o ambos números.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REQUISITOS PARA 4,6+ — marcarlos aquí, cuando ocurran</w:t>
      </w:r>
      <w:r>
        <w:rPr>
          <w:rFonts w:ascii="Calibri" w:hAnsi="Calibri"/>
          <w:b w:val="0"/>
          <w:color w:val="2B2B2B"/>
          <w:sz w:val="22"/>
        </w:rPr>
        <w:t xml:space="preserve"> (§8 de la ficha; se cumplen durante la exposición, no al final)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El chat respondiendo en vivo sobre la URL pública, con dato que venga de la base y con «no sé» ante una pregunta fuera de alcance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Distinguir con precisión «impacto potencial» de «impacto medido», asumiendo sin defensas que el protocolo no se aplicó. Más que los tres respondan, cada uno de lo suyo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(§7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mostraron el chat funcionando y respondió bien → pedir una pregunta fuera de alcance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NO mostraron el chat o solo lo mencionaron → P1 completa: compartir pantalla y hacer la tarea 1 de la Tabla 21 (folio 79). </w:t>
      </w:r>
      <w:r>
        <w:rPr>
          <w:rFonts w:ascii="Calibri" w:hAnsi="Calibri"/>
          <w:b/>
          <w:color w:val="2B2B2B"/>
          <w:sz w:val="22"/>
        </w:rPr>
        <w:t>El documento no da fecha de despliegue: no pedirla como si constara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presentaron todo con capturas y no abrieron la aplicación → pedir la URL pública en vivo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«Están invitando a probarlo desde el teléfono en la diapositiva 16. ¿Podemos abrirlo ahora y hacer la tarea 1 del guion de la tabla 21: localizar las termales y decir a qué hora abren hoy?»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que ya aplicaron la prueba de usabilidad → pedir n, fecha y el valor obtenido de la tabla 23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que la plataforma «ya la usa la Alcaldía» → pedir el acto administrativo o el responsable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afirmaron que la muestra valida el diagnóstico → recordarles su propia página 83 y preguntar qué cambiaría el diseño si hubieran entrevistado a diez hoteleros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pasaron del tiempo y saltaron los resultados o el producto → ir directo al objetivo 3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30 segundos, ¿qué de lo que prometió el objetivo 3 está hoy operando y qué no?»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solo habló uno de los tres → repartir: uno el modelo de datos, otro el chat, otro el diagnóstico  </w:t>
      </w:r>
      <w:r>
        <w:rPr>
          <w:rFonts w:ascii="Calibri" w:hAnsi="Calibri"/>
          <w:b/>
          <w:color w:val="2B2B2B"/>
          <w:sz w:val="22"/>
        </w:rPr>
        <w:t>(p. 73)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el que responde lo técnico no es quien firmó la parte metodológica → pedir a otro integrante que explique por qué el estudio es cualitativo si las tablas 6 y 8 promedian escalas Likert  </w:t>
      </w:r>
      <w:r>
        <w:rPr>
          <w:rFonts w:ascii="Calibri" w:hAnsi="Calibri"/>
          <w:b/>
          <w:color w:val="2B2B2B"/>
          <w:sz w:val="22"/>
        </w:rPr>
        <w:t>(p. 38)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leyeron las diapositivas palabra por palabra → cuenta contra claridad, no preguntar por ello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El chat sin fila de prueba: demostrarlo en vivo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capítulo de pruebas mide la latencia de cuatro servicios REST y la Tabla 17, folios 74 y 75, trae filas de catálogo, autenticación, favoritos, comentarios, agenda y publicación: ninguna del chat inteligente. La Tabla 20, folio 77, le asigna como evidencia la Tabla 15 y la Figura 18, que son diseño. Compartan pantalla en riveraturismohuila.com y háganle al asistente la tarea 1 de su Tabla 21, folio 79: a qué hora abren hoy las termales. Si no está en ejecución, díganlo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De qué ítem del instrumento salió el 4,7 de emprendimientos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Tabla 8, folio 43, reporta cinco promedios de impacto —visibilidad 5,0, emprendimientos 4,7, flujo 4,3— y su diapositiva 7 los rotula como escala Likert de 1 a 5 con n igual a tres. La ficha técnica del folio 34 sí declara una Likert de cinco niveles, pero ninguna de las 15 preguntas de los folios 35 y 36 es un ítem escalado. Nómbrenme el ítem del que salió el 4,7 de emprendimientos. Si ese promedio no viene de un ítem, díganlo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Empresario: la evidencia remitida a un anexo que no existe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folio 71 dice que las funcionalidades de empresario, editor y administrador están disponibles y que su evidencia se detalla en el capítulo siguiente. En ese capítulo, la Tabla 18, folio 75, marca las filas autenticadas como por anexar la captura, y el folio 74 remite esa evidencia a un anexo separado que no está en el documento ni en el índice. Compartan pantalla, inicien sesión como empresario y creen una publicación. Si esa evidencia no existe todavía, díganlo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tiempo; banco completo en la §6 de la ficha):</w:t>
      </w:r>
      <w:r>
        <w:rPr>
          <w:rFonts w:ascii="Calibri" w:hAnsi="Calibri"/>
          <w:b w:val="0"/>
          <w:color w:val="2B2B2B"/>
          <w:sz w:val="22"/>
        </w:rPr>
        <w:t xml:space="preserve"> R4 el 26 % con tres entrevistados (Tabla 7, folio 42) · R5 el 5,0 del catálogo sin pregunta que lo produzca (Tabla 6, folio 40) · R7 cuántas publicaciones hay hoy en producción (folio 63) · R8 cuántos roles, al que no ha hablado (folios 47 y 60) · R9 proveedor y costo mensual del modelo (Tabla 10, folios 46-47) · R12 abrir la agenda y mostrar un evento con su fecha (diap. 13 vs Tabla 17, folio 74)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Sin demostración en vivo del producto que ellos mismos invitan a probar, difícilmente pasa de 4,4.</w:t>
      </w:r>
    </w:p>
    <w:p>
      <w:r>
        <w:rPr>
          <w:rFonts w:ascii="Calibri" w:hAnsi="Calibri"/>
          <w:b/>
          <w:color w:val="2B2B2B"/>
          <w:sz w:val="22"/>
        </w:rPr>
        <w:t>Partida antes de oír (§8 de la ficha):</w:t>
      </w:r>
      <w:r>
        <w:rPr>
          <w:rFonts w:ascii="Calibri" w:hAnsi="Calibri"/>
          <w:b w:val="0"/>
          <w:color w:val="2B2B2B"/>
          <w:sz w:val="22"/>
        </w:rPr>
        <w:t xml:space="preserve"> 4,3 – 4,7. Mueve la aguja una sola cosa: que el chat y el perfil de empresario se vean funcionando.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 · FORMULARIO OFICIAL DEL JURADO — 5 criterios, escala 1–5</w:t>
      </w:r>
    </w:p>
    <w:p>
      <w:r>
        <w:rPr>
          <w:rFonts w:ascii="Calibri" w:hAnsi="Calibri"/>
          <w:b w:val="0"/>
          <w:color w:val="2B2B2B"/>
          <w:sz w:val="22"/>
        </w:rPr>
        <w:t xml:space="preserve">Instrumento </w:t>
      </w:r>
      <w:r>
        <w:rPr>
          <w:rFonts w:ascii="Calibri" w:hAnsi="Calibri"/>
          <w:b/>
          <w:color w:val="2B2B2B"/>
          <w:sz w:val="22"/>
        </w:rPr>
        <w:t>distinto</w:t>
      </w:r>
      <w:r>
        <w:rPr>
          <w:rFonts w:ascii="Calibri" w:hAnsi="Calibri"/>
          <w:b w:val="0"/>
          <w:color w:val="2B2B2B"/>
          <w:sz w:val="22"/>
        </w:rPr>
        <w:t xml:space="preserve"> de los cuatro criterios de la §D: aquellos dan la </w:t>
      </w:r>
      <w:r>
        <w:rPr>
          <w:rFonts w:ascii="Calibri" w:hAnsi="Calibri"/>
          <w:b/>
          <w:color w:val="2B2B2B"/>
          <w:sz w:val="22"/>
        </w:rPr>
        <w:t>nota del acta</w:t>
      </w:r>
      <w:r>
        <w:rPr>
          <w:rFonts w:ascii="Calibri" w:hAnsi="Calibri"/>
          <w:b w:val="0"/>
          <w:color w:val="2B2B2B"/>
          <w:sz w:val="22"/>
        </w:rPr>
        <w:t xml:space="preserve">, estos cinco van al formulario de la Dirección y </w:t>
      </w:r>
      <w:r>
        <w:rPr>
          <w:rFonts w:ascii="Calibri" w:hAnsi="Calibri"/>
          <w:b/>
          <w:color w:val="2B2B2B"/>
          <w:sz w:val="22"/>
        </w:rPr>
        <w:t>no son notas</w:t>
      </w:r>
      <w:r>
        <w:rPr>
          <w:rFonts w:ascii="Calibri" w:hAnsi="Calibri"/>
          <w:b w:val="0"/>
          <w:color w:val="2B2B2B"/>
          <w:sz w:val="22"/>
        </w:rPr>
        <w:t xml:space="preserve">. Las cinco se responden con el documento, así que vienen </w:t>
      </w:r>
      <w:r>
        <w:rPr>
          <w:rFonts w:ascii="Calibri" w:hAnsi="Calibri"/>
          <w:b/>
          <w:color w:val="2B2B2B"/>
          <w:sz w:val="22"/>
        </w:rPr>
        <w:t>precargadas</w:t>
      </w:r>
      <w:r>
        <w:rPr>
          <w:rFonts w:ascii="Calibri" w:hAnsi="Calibri"/>
          <w:b w:val="0"/>
          <w:color w:val="2B2B2B"/>
          <w:sz w:val="22"/>
        </w:rPr>
        <w:t xml:space="preserve"> desde la §8.1 de la ficha, que trae la página que sostiene cada casilla. En sala solo se confirma; si la sustentación cambia una, se tacha y se rodea otra.</w:t>
      </w:r>
    </w:p>
    <w:p>
      <w:r>
        <w:rPr>
          <w:rFonts w:ascii="Calibri" w:hAnsi="Calibri"/>
          <w:b/>
          <w:color w:val="2B2B2B"/>
          <w:sz w:val="22"/>
        </w:rPr>
        <w:t>1. Problemática y objetivos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4</w:t>
      </w:r>
    </w:p>
    <w:p>
      <w:r>
        <w:rPr>
          <w:rFonts w:ascii="Calibri" w:hAnsi="Calibri"/>
          <w:b/>
          <w:color w:val="2B2B2B"/>
          <w:sz w:val="22"/>
        </w:rPr>
        <w:t>2. Marco teórico y referentes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3. Metodología, muestra y diseño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3</w:t>
      </w:r>
    </w:p>
    <w:p>
      <w:r>
        <w:rPr>
          <w:rFonts w:ascii="Calibri" w:hAnsi="Calibri"/>
          <w:b/>
          <w:color w:val="2B2B2B"/>
          <w:sz w:val="22"/>
        </w:rPr>
        <w:t>4. Resultados y conclusiones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3</w:t>
      </w:r>
    </w:p>
    <w:p>
      <w:r>
        <w:rPr>
          <w:rFonts w:ascii="Calibri" w:hAnsi="Calibri"/>
          <w:b/>
          <w:color w:val="2B2B2B"/>
          <w:sz w:val="22"/>
        </w:rPr>
        <w:t>5. Pertinencia disciplinar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4</w:t>
      </w:r>
    </w:p>
    <w:p>
      <w:r>
        <w:rPr>
          <w:rFonts w:ascii="Calibri" w:hAnsi="Calibri"/>
          <w:b/>
          <w:color w:val="2B2B2B"/>
          <w:sz w:val="22"/>
        </w:rPr>
        <w:t>Suma:  ______ / 25</w:t>
      </w:r>
      <w:r>
        <w:rPr>
          <w:rFonts w:ascii="Calibri" w:hAnsi="Calibri"/>
          <w:b w:val="0"/>
          <w:color w:val="2B2B2B"/>
          <w:sz w:val="22"/>
        </w:rPr>
        <w:t xml:space="preserve">   ·   precargada: </w:t>
      </w:r>
      <w:r>
        <w:rPr>
          <w:rFonts w:ascii="Calibri" w:hAnsi="Calibri"/>
          <w:b/>
          <w:color w:val="2B2B2B"/>
          <w:sz w:val="22"/>
        </w:rPr>
        <w:t>16 / 25</w:t>
      </w:r>
    </w:p>
    <w:p>
      <w:r>
        <w:rPr>
          <w:rFonts w:ascii="Calibri" w:hAnsi="Calibri"/>
          <w:b/>
          <w:color w:val="2B2B2B"/>
          <w:sz w:val="22"/>
        </w:rPr>
        <w:t>Si cambio una casilla, la razón en una línea</w:t>
      </w:r>
      <w:r>
        <w:rPr>
          <w:rFonts w:ascii="Calibri" w:hAnsi="Calibri"/>
          <w:b w:val="0"/>
          <w:color w:val="2B2B2B"/>
          <w:sz w:val="22"/>
        </w:rPr>
        <w:t xml:space="preserve"> (la §8.1 trae el sustento del precargado):   ______________________________________________________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