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26ET2-G-005 — Comparación de modelos estadísticos y de Machine Learning para la predicción de fallas en sistemas eléctricos de distribución mediante integración de datos SCADA, OMS y GIS en Centrales Eléctricas de Norte de Santander</w:t>
      </w:r>
    </w:p>
    <w:p>
      <w:r>
        <w:rPr>
          <w:rFonts w:ascii="Calibri" w:hAnsi="Calibri"/>
          <w:b/>
          <w:color w:val="2B2B2B"/>
          <w:sz w:val="22"/>
        </w:rPr>
        <w:t>Sustentación:</w:t>
      </w:r>
      <w:r>
        <w:rPr>
          <w:rFonts w:ascii="Calibri" w:hAnsi="Calibri"/>
          <w:b w:val="0"/>
          <w:color w:val="2B2B2B"/>
          <w:sz w:val="22"/>
        </w:rPr>
        <w:t xml:space="preserve"> martes 18 de agosto de 2026 · 7:20 p. m. – 7:40 p. 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Edward Alexis Orduz Rodríguez (edward.orduz@cun.edu.co), Ángel David Ortiz Rivera (angel.ortizriv@cun.edu.co)</w:t>
      </w:r>
    </w:p>
    <w:p>
      <w:r>
        <w:rPr>
          <w:rFonts w:ascii="Calibri" w:hAnsi="Calibri"/>
          <w:b/>
          <w:color w:val="2B2B2B"/>
          <w:sz w:val="22"/>
        </w:rPr>
        <w:t>Línea:</w:t>
      </w:r>
      <w:r>
        <w:rPr>
          <w:rFonts w:ascii="Calibri" w:hAnsi="Calibri"/>
          <w:b w:val="0"/>
          <w:color w:val="2B2B2B"/>
          <w:sz w:val="22"/>
        </w:rPr>
        <w:t xml:space="preserve"> Gestión y Tecnología</w:t>
      </w:r>
    </w:p>
    <w:p>
      <w:r>
        <w:rPr>
          <w:rFonts w:ascii="Calibri" w:hAnsi="Calibri"/>
          <w:b/>
          <w:color w:val="2B2B2B"/>
          <w:sz w:val="22"/>
        </w:rPr>
        <w:t>Documentos leídos:</w:t>
      </w:r>
      <w:r>
        <w:rPr>
          <w:rFonts w:ascii="Calibri" w:hAnsi="Calibri"/>
          <w:b w:val="0"/>
          <w:color w:val="2B2B2B"/>
          <w:sz w:val="22"/>
        </w:rPr>
        <w:t xml:space="preserve"> </w:t>
      </w:r>
      <w:r>
        <w:rPr>
          <w:rFonts w:ascii="Consolas" w:hAnsi="Consolas"/>
          <w:color w:val="111111"/>
          <w:sz w:val="21"/>
        </w:rPr>
        <w:t>Proyecto final.pdf</w:t>
      </w:r>
      <w:r>
        <w:rPr>
          <w:rFonts w:ascii="Calibri" w:hAnsi="Calibri"/>
          <w:b w:val="0"/>
          <w:color w:val="2B2B2B"/>
          <w:sz w:val="22"/>
        </w:rPr>
        <w:t xml:space="preserve"> (115 páginas) y </w:t>
      </w:r>
      <w:r>
        <w:rPr>
          <w:rFonts w:ascii="Consolas" w:hAnsi="Consolas"/>
          <w:color w:val="111111"/>
          <w:sz w:val="21"/>
        </w:rPr>
        <w:t>Sustentación proyecto de grado.pdf</w:t>
      </w:r>
      <w:r>
        <w:rPr>
          <w:rFonts w:ascii="Calibri" w:hAnsi="Calibri"/>
          <w:b w:val="0"/>
          <w:color w:val="2B2B2B"/>
          <w:sz w:val="22"/>
        </w:rPr>
        <w:t xml:space="preserve"> (15 diapositivas), ambos en la carpeta del grupo. Solo hay una versión de cada uno; no hubo que elegir entre versiones.</w:t>
      </w:r>
    </w:p>
    <w:p>
      <w:pPr>
        <w:spacing w:before="200" w:after="60"/>
      </w:pPr>
      <w:r>
        <w:rPr>
          <w:rFonts w:ascii="Calibri" w:hAnsi="Calibri"/>
          <w:b/>
          <w:color w:val="007433"/>
          <w:sz w:val="32"/>
        </w:rPr>
        <w:t>1. Resumen para leer en 5 minutos</w:t>
      </w:r>
    </w:p>
    <w:p>
      <w:r>
        <w:rPr>
          <w:rFonts w:ascii="Calibri" w:hAnsi="Calibri"/>
          <w:b w:val="0"/>
          <w:color w:val="2B2B2B"/>
          <w:sz w:val="22"/>
        </w:rPr>
        <w:t>El proyecto parte de un problema real y bien delimitado: en Centrales Eléctricas de Norte de Santander (CENS) la gestión de fallas de la red de distribución es reactiva y se apoya en análisis históricos posteriores al evento, lo que limita la anticipación frente a los indicadores regulatorios SAIDI y SAIFI exigidos por la CREG y vigilados por la SSPD (pp. 12, 21-22, 30). La pregunta compara modelos estadísticos y de Machine Learning en desempeño predictivo, generalización e interpretabilidad, integrando SCADA, OMS y GIS (p. 23); el objetivo general y los cuatro específicos dicen exactamente eso (p. 25).</w:t>
      </w:r>
    </w:p>
    <w:p>
      <w:r>
        <w:rPr>
          <w:rFonts w:ascii="Calibri" w:hAnsi="Calibri"/>
          <w:b/>
          <w:color w:val="2B2B2B"/>
          <w:sz w:val="22"/>
        </w:rPr>
        <w:t>Dato decisivo y hay que tenerlo presente antes de entrar:</w:t>
      </w:r>
      <w:r>
        <w:rPr>
          <w:rFonts w:ascii="Calibri" w:hAnsi="Calibri"/>
          <w:b w:val="0"/>
          <w:color w:val="2B2B2B"/>
          <w:sz w:val="22"/>
        </w:rPr>
        <w:t xml:space="preserve"> no hubo acceso a los sistemas productivos de CENS, y el análisis completo se hizo sobre </w:t>
      </w:r>
      <w:r>
        <w:rPr>
          <w:rFonts w:ascii="Calibri" w:hAnsi="Calibri"/>
          <w:b/>
          <w:color w:val="2B2B2B"/>
          <w:sz w:val="22"/>
        </w:rPr>
        <w:t>un conjunto de datos construido/sintético</w:t>
      </w:r>
      <w:r>
        <w:rPr>
          <w:rFonts w:ascii="Calibri" w:hAnsi="Calibri"/>
          <w:b w:val="0"/>
          <w:color w:val="2B2B2B"/>
          <w:sz w:val="22"/>
        </w:rPr>
        <w:t xml:space="preserve"> que reproduce la estructura y el comportamiento estadístico esperado de SCADA, OMS y GIS. Cada lugar usa una palabra distinta: la p. 12 dice «construido» (la palabra «sintético» </w:t>
      </w:r>
      <w:r>
        <w:rPr>
          <w:rFonts w:ascii="Calibri" w:hAnsi="Calibri"/>
          <w:b/>
          <w:color w:val="2B2B2B"/>
          <w:sz w:val="22"/>
        </w:rPr>
        <w:t>no</w:t>
      </w:r>
      <w:r>
        <w:rPr>
          <w:rFonts w:ascii="Calibri" w:hAnsi="Calibri"/>
          <w:b w:val="0"/>
          <w:color w:val="2B2B2B"/>
          <w:sz w:val="22"/>
        </w:rPr>
        <w:t xml:space="preserve"> aparece en el resumen), el abstract en inglés lo llama literalmente «simulated dataset» (p. 14) y la conclusión es la única que lo dice en español: «un conjunto sintético estructurado para fines académicos» (p. 112) —de hecho, aplicada a su propio conjunto, la palabra «sintético» aparece una sola vez en las 115 páginas—.</w:t>
      </w:r>
    </w:p>
    <w:p>
      <w:r>
        <w:rPr>
          <w:rFonts w:ascii="Calibri" w:hAnsi="Calibri"/>
          <w:b w:val="0"/>
          <w:color w:val="2B2B2B"/>
          <w:sz w:val="22"/>
        </w:rPr>
        <w:t xml:space="preserve">Sobre ese conjunto: 87.500 eventos iniciales, 83.900 válidos tras depurar 3.600 (4,11 %), 20.900 activos trazables y 46 variables. Reparto exacto de las citas: las 46 variables y los 20.900 activos solo en la Tabla 11 (p. 76); el 4,11 % solo en la Tabla 12 (p. 78); las tres cifras de eventos también en la p. 47. El aporte metodológico más sólido es haber definido la unidad de análisis </w:t>
      </w:r>
      <w:r>
        <w:rPr>
          <w:rFonts w:ascii="Calibri" w:hAnsi="Calibri"/>
          <w:b/>
          <w:color w:val="2B2B2B"/>
          <w:sz w:val="22"/>
        </w:rPr>
        <w:t>activo-semana</w:t>
      </w:r>
      <w:r>
        <w:rPr>
          <w:rFonts w:ascii="Calibri" w:hAnsi="Calibri"/>
          <w:b w:val="0"/>
          <w:color w:val="2B2B2B"/>
          <w:sz w:val="22"/>
        </w:rPr>
        <w:t xml:space="preserve"> para construir la clase negativa y no acabar clasificando eventos ya ocurridos (pp. 48, 95), y haber excluido explícitamente como predictoras las variables de resultado (duración, usuarios afectados, ENS, SAIDI, SAIFI) para evitar fuga de información (pp. 49, 96; la p. 96 añade tipo de falla, causa y tipo de evento).</w:t>
      </w:r>
    </w:p>
    <w:p>
      <w:r>
        <w:rPr>
          <w:rFonts w:ascii="Calibri" w:hAnsi="Calibri"/>
          <w:b w:val="0"/>
          <w:color w:val="2B2B2B"/>
          <w:sz w:val="22"/>
        </w:rPr>
        <w:t>Resultados: partición temporal con 6.409.824 filas de entrenamiento (del 31/12/2018 al 30/12/2024, corte el 1/1/2025) y 1.003.200 de prueba (2025); ROC-AUC de 0,594 para Regresión Logística, 0,605 para Random Forest y 0,616 para XGBoost (exactos: 0,593935 / 0,605019 / 0,616290); PR-AUC máximo 0,053; mayor recall el de Random Forest, 0,297 (pp. 96-99, 111). SHAP sobre 5.000 registros identifica MES_SEMANA, EDAD_ACTIVO_SEMANA, TIPO_ACTIVO, MUNICIPIO y PRECIP_TOTAL_ULT_4S (p. 100). Una matriz multicriterio selecciona XGBoost (0,614595 frente a 0,418922 y 0,394371): el dato de los «11 criterios ponderados» está solo en la p. 108, mientras la p. 104 nombra seis grupos de criterios (desempeño, calibración, robustez, interpretabilidad, facilidad de implementación, trazabilidad).</w:t>
      </w:r>
    </w:p>
    <w:p>
      <w:r>
        <w:rPr>
          <w:rFonts w:ascii="Calibri" w:hAnsi="Calibri"/>
          <w:b/>
          <w:color w:val="2B2B2B"/>
          <w:sz w:val="22"/>
        </w:rPr>
        <w:t>Producto:</w:t>
      </w:r>
      <w:r>
        <w:rPr>
          <w:rFonts w:ascii="Calibri" w:hAnsi="Calibri"/>
          <w:b w:val="0"/>
          <w:color w:val="2B2B2B"/>
          <w:sz w:val="22"/>
        </w:rPr>
        <w:t xml:space="preserve"> un prototipo de tablero en Streamlit que integra el modelo XGBoost y SHAP, declarado prueba de concepto y no implementación productiva (pp. 71, 112). Caso de prueba: activo ACT-012907, conductor de MT en zona rural del municipio de El Tarra, ~35 años, P(falla)=0,345 a cuatro semanas, riesgo alto, resultado retrospectivo </w:t>
      </w:r>
      <w:r>
        <w:rPr>
          <w:rFonts w:ascii="Calibri" w:hAnsi="Calibri"/>
          <w:b/>
          <w:color w:val="2B2B2B"/>
          <w:sz w:val="22"/>
        </w:rPr>
        <w:t>falso positivo</w:t>
      </w:r>
      <w:r>
        <w:rPr>
          <w:rFonts w:ascii="Calibri" w:hAnsi="Calibri"/>
          <w:b w:val="0"/>
          <w:color w:val="2B2B2B"/>
          <w:sz w:val="22"/>
        </w:rPr>
        <w:t>, que el documento reporta con honestidad (p. 72).</w:t>
      </w:r>
    </w:p>
    <w:p>
      <w:pPr>
        <w:spacing w:before="200" w:after="60"/>
      </w:pPr>
      <w:r>
        <w:rPr>
          <w:rFonts w:ascii="Calibri" w:hAnsi="Calibri"/>
          <w:b/>
          <w:color w:val="007433"/>
          <w:sz w:val="32"/>
        </w:rPr>
        <w:t>2. Coherencia título → objetivo → resultados</w:t>
      </w:r>
    </w:p>
    <w:p>
      <w:r>
        <w:rPr>
          <w:rFonts w:ascii="Calibri" w:hAnsi="Calibri"/>
          <w:b w:val="0"/>
          <w:color w:val="2B2B2B"/>
          <w:sz w:val="22"/>
        </w:rPr>
        <w:t xml:space="preserve">Título, pregunta (p. 23) y objetivo general (p. 25) son coherentes entre sí: el verbo es </w:t>
      </w:r>
      <w:r>
        <w:rPr>
          <w:rFonts w:ascii="Calibri" w:hAnsi="Calibri"/>
          <w:b/>
          <w:color w:val="2B2B2B"/>
          <w:sz w:val="22"/>
        </w:rPr>
        <w:t>comparar</w:t>
      </w:r>
      <w:r>
        <w:rPr>
          <w:rFonts w:ascii="Calibri" w:hAnsi="Calibri"/>
          <w:b w:val="0"/>
          <w:color w:val="2B2B2B"/>
          <w:sz w:val="22"/>
        </w:rPr>
        <w:t xml:space="preserve">, y comparar sí se hizo (tres modelos, mismas particiones, mismas métricas). El techo del trabajo está bien fijado: no promete implementar en producción y el alcance lo dice expresamente (p. 28). La incoherencia no está entre título y objetivo, sino entre </w:t>
      </w:r>
      <w:r>
        <w:rPr>
          <w:rFonts w:ascii="Calibri" w:hAnsi="Calibri"/>
          <w:b/>
          <w:color w:val="2B2B2B"/>
          <w:sz w:val="22"/>
        </w:rPr>
        <w:t>el objeto declarado</w:t>
      </w:r>
      <w:r>
        <w:rPr>
          <w:rFonts w:ascii="Calibri" w:hAnsi="Calibri"/>
          <w:b w:val="0"/>
          <w:color w:val="2B2B2B"/>
          <w:sz w:val="22"/>
        </w:rPr>
        <w:t xml:space="preserve"> («los sistemas eléctricos de distribución de CENS») y </w:t>
      </w:r>
      <w:r>
        <w:rPr>
          <w:rFonts w:ascii="Calibri" w:hAnsi="Calibri"/>
          <w:b/>
          <w:color w:val="2B2B2B"/>
          <w:sz w:val="22"/>
        </w:rPr>
        <w:t>el objeto realmente analizado</w:t>
      </w:r>
      <w:r>
        <w:rPr>
          <w:rFonts w:ascii="Calibri" w:hAnsi="Calibri"/>
          <w:b w:val="0"/>
          <w:color w:val="2B2B2B"/>
          <w:sz w:val="22"/>
        </w:rPr>
        <w:t xml:space="preserve"> (un conjunto sintético que los emula, pp. 14, 112).</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 (p.)</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val="0"/>
                <w:color w:val="2B2B2B"/>
                <w:sz w:val="20"/>
              </w:rPr>
              <w:t>1. Recolectar y preprocesar SCADA, OMS y GIS</w:t>
            </w:r>
          </w:p>
        </w:tc>
        <w:tc>
          <w:tcPr>
            <w:tcW w:type="dxa" w:w="2448"/>
          </w:tcPr>
          <w:p>
            <w:r/>
            <w:r>
              <w:rPr>
                <w:rFonts w:ascii="Calibri" w:hAnsi="Calibri"/>
                <w:b w:val="0"/>
                <w:color w:val="2B2B2B"/>
                <w:sz w:val="20"/>
              </w:rPr>
              <w:t>Sí, es el resultado más completo</w:t>
            </w:r>
          </w:p>
        </w:tc>
        <w:tc>
          <w:tcPr>
            <w:tcW w:type="dxa" w:w="2448"/>
          </w:tcPr>
          <w:p>
            <w:r/>
            <w:r>
              <w:rPr>
                <w:rFonts w:ascii="Calibri" w:hAnsi="Calibri"/>
                <w:b w:val="0"/>
                <w:color w:val="2B2B2B"/>
                <w:sz w:val="20"/>
              </w:rPr>
              <w:t>ETL, reglas de exclusión, matriz de calidad, diccionario de datos y panel activo-semana: pp. 64-70, 76-78, 107</w:t>
            </w:r>
          </w:p>
        </w:tc>
        <w:tc>
          <w:tcPr>
            <w:tcW w:type="dxa" w:w="2448"/>
          </w:tcPr>
          <w:p>
            <w:r/>
            <w:r>
              <w:rPr>
                <w:rFonts w:ascii="Calibri" w:hAnsi="Calibri"/>
                <w:b w:val="0"/>
                <w:color w:val="2B2B2B"/>
                <w:sz w:val="20"/>
              </w:rPr>
              <w:t>Que sea sobre datos sintéticos no se enuncia en este apartado ni en la Tabla 14 (pp. 107-108); allí se lee «objetivo ejecutado sobre el conjunto de datos», sin el matiz. Y de las seis variables de SCADA de la Tabla 9 (p. 68), las seis quedan excluidas por fuga: al modelo final no entra ninguna</w:t>
            </w:r>
          </w:p>
        </w:tc>
      </w:tr>
      <w:tr>
        <w:tc>
          <w:tcPr>
            <w:tcW w:type="dxa" w:w="2448"/>
            <w:shd w:val="clear" w:fill="F5F7F5"/>
            <w:shd w:val="clear" w:fill="F5F7F5"/>
          </w:tcPr>
          <w:p>
            <w:r/>
            <w:r>
              <w:rPr>
                <w:rFonts w:ascii="Calibri" w:hAnsi="Calibri"/>
                <w:b w:val="0"/>
                <w:color w:val="2B2B2B"/>
                <w:sz w:val="20"/>
              </w:rPr>
              <w:t>2. Entrenar y ajustar modelos con validación cruzada y ajuste de hiperparámetros</w:t>
            </w:r>
          </w:p>
        </w:tc>
        <w:tc>
          <w:tcPr>
            <w:tcW w:type="dxa" w:w="2448"/>
            <w:shd w:val="clear" w:fill="F5F7F5"/>
            <w:shd w:val="clear" w:fill="F5F7F5"/>
          </w:tcPr>
          <w:p>
            <w:r/>
            <w:r>
              <w:rPr>
                <w:rFonts w:ascii="Calibri" w:hAnsi="Calibri"/>
                <w:b w:val="0"/>
                <w:color w:val="2B2B2B"/>
                <w:sz w:val="20"/>
              </w:rPr>
              <w:t xml:space="preserve">Sí en entrenamiento; </w:t>
            </w:r>
            <w:r>
              <w:rPr>
                <w:rFonts w:ascii="Calibri" w:hAnsi="Calibri"/>
                <w:b/>
                <w:color w:val="2B2B2B"/>
                <w:sz w:val="20"/>
              </w:rPr>
              <w:t>parcial</w:t>
            </w:r>
            <w:r>
              <w:rPr>
                <w:rFonts w:ascii="Calibri" w:hAnsi="Calibri"/>
                <w:b w:val="0"/>
                <w:color w:val="2B2B2B"/>
                <w:sz w:val="20"/>
              </w:rPr>
              <w:t xml:space="preserve"> en validación cruzada e hiperparámetros</w:t>
            </w:r>
          </w:p>
        </w:tc>
        <w:tc>
          <w:tcPr>
            <w:tcW w:type="dxa" w:w="2448"/>
            <w:shd w:val="clear" w:fill="F5F7F5"/>
            <w:shd w:val="clear" w:fill="F5F7F5"/>
          </w:tcPr>
          <w:p>
            <w:r/>
            <w:r>
              <w:rPr>
                <w:rFonts w:ascii="Calibri" w:hAnsi="Calibri"/>
                <w:b w:val="0"/>
                <w:color w:val="2B2B2B"/>
                <w:sz w:val="20"/>
              </w:rPr>
              <w:t>Tres modelos y partición temporal: pp. 96, 107</w:t>
            </w:r>
          </w:p>
        </w:tc>
        <w:tc>
          <w:tcPr>
            <w:tcW w:type="dxa" w:w="2448"/>
            <w:shd w:val="clear" w:fill="F5F7F5"/>
            <w:shd w:val="clear" w:fill="F5F7F5"/>
          </w:tcPr>
          <w:p>
            <w:r/>
            <w:r>
              <w:rPr>
                <w:rFonts w:ascii="Calibri" w:hAnsi="Calibri"/>
                <w:b w:val="0"/>
                <w:color w:val="2B2B2B"/>
                <w:sz w:val="20"/>
              </w:rPr>
              <w:t xml:space="preserve">El documento anuncia el «k-fold estratificada por circuito» </w:t>
            </w:r>
            <w:r>
              <w:rPr>
                <w:rFonts w:ascii="Calibri" w:hAnsi="Calibri"/>
                <w:b/>
                <w:color w:val="2B2B2B"/>
                <w:sz w:val="20"/>
              </w:rPr>
              <w:t>solo en la p. 51</w:t>
            </w:r>
            <w:r>
              <w:rPr>
                <w:rFonts w:ascii="Calibri" w:hAnsi="Calibri"/>
                <w:b w:val="0"/>
                <w:color w:val="2B2B2B"/>
                <w:sz w:val="20"/>
              </w:rPr>
              <w:t xml:space="preserve"> —única vez en las 115 páginas— y la partición por circuito en las pp. 51, 53 y 55; en resultados solo se reporta la partición temporal (p. 96). No hay tabla de hiperparámetros ni de folds</w:t>
            </w:r>
          </w:p>
        </w:tc>
      </w:tr>
      <w:tr>
        <w:tc>
          <w:tcPr>
            <w:tcW w:type="dxa" w:w="2448"/>
          </w:tcPr>
          <w:p>
            <w:r/>
            <w:r>
              <w:rPr>
                <w:rFonts w:ascii="Calibri" w:hAnsi="Calibri"/>
                <w:b w:val="0"/>
                <w:color w:val="2B2B2B"/>
                <w:sz w:val="20"/>
              </w:rPr>
              <w:t>3. Evaluar desempeño e interpretabilidad con métricas y XAI</w:t>
            </w:r>
          </w:p>
        </w:tc>
        <w:tc>
          <w:tcPr>
            <w:tcW w:type="dxa" w:w="2448"/>
          </w:tcPr>
          <w:p>
            <w:r/>
            <w:r>
              <w:rPr>
                <w:rFonts w:ascii="Calibri" w:hAnsi="Calibri"/>
                <w:b w:val="0"/>
                <w:color w:val="2B2B2B"/>
                <w:sz w:val="20"/>
              </w:rPr>
              <w:t>Sí</w:t>
            </w:r>
          </w:p>
        </w:tc>
        <w:tc>
          <w:tcPr>
            <w:tcW w:type="dxa" w:w="2448"/>
          </w:tcPr>
          <w:p>
            <w:r/>
            <w:r>
              <w:rPr>
                <w:rFonts w:ascii="Calibri" w:hAnsi="Calibri"/>
                <w:b w:val="0"/>
                <w:color w:val="2B2B2B"/>
                <w:sz w:val="20"/>
              </w:rPr>
              <w:t>Tabla 13 (p. 97), curvas PR y calibración (pp. 98-99), SHAP global y tres casos locales (pp. 100-103)</w:t>
            </w:r>
          </w:p>
        </w:tc>
        <w:tc>
          <w:tcPr>
            <w:tcW w:type="dxa" w:w="2448"/>
          </w:tcPr>
          <w:p>
            <w:r/>
            <w:r>
              <w:rPr>
                <w:rFonts w:ascii="Calibri" w:hAnsi="Calibri"/>
                <w:b w:val="0"/>
                <w:color w:val="2B2B2B"/>
                <w:sz w:val="20"/>
              </w:rPr>
              <w:t xml:space="preserve">La Tabla 13 solo publica ROC-AUC, PR-AUC y precision. La p. 99 da recall (0,297) y F1 (0,097) solo de los mejores, y la lista completa —recall, F1, especificidad, accuracy, Brier, tiempos de entrenamiento e inferencia— está en la p. 107 y en la Tabla 14 (p. 108) </w:t>
            </w:r>
            <w:r>
              <w:rPr>
                <w:rFonts w:ascii="Calibri" w:hAnsi="Calibri"/>
                <w:b/>
                <w:color w:val="2B2B2B"/>
                <w:sz w:val="20"/>
              </w:rPr>
              <w:t>sin un solo valor numérico</w:t>
            </w:r>
            <w:r>
              <w:rPr>
                <w:rFonts w:ascii="Calibri" w:hAnsi="Calibri"/>
                <w:b w:val="0"/>
                <w:color w:val="2B2B2B"/>
                <w:sz w:val="20"/>
              </w:rPr>
              <w:t>. La nota de la Tabla 13 habla del Brier Score, que no aparece en la tabla (p. 97)</w:t>
            </w:r>
          </w:p>
        </w:tc>
      </w:tr>
      <w:tr>
        <w:tc>
          <w:tcPr>
            <w:tcW w:type="dxa" w:w="2448"/>
            <w:shd w:val="clear" w:fill="F5F7F5"/>
            <w:shd w:val="clear" w:fill="F5F7F5"/>
          </w:tcPr>
          <w:p>
            <w:r/>
            <w:r>
              <w:rPr>
                <w:rFonts w:ascii="Calibri" w:hAnsi="Calibri"/>
                <w:b w:val="0"/>
                <w:color w:val="2B2B2B"/>
                <w:sz w:val="20"/>
              </w:rPr>
              <w:t>4. Marco comparativo multicriterio de selección</w:t>
            </w:r>
          </w:p>
        </w:tc>
        <w:tc>
          <w:tcPr>
            <w:tcW w:type="dxa" w:w="2448"/>
            <w:shd w:val="clear" w:fill="F5F7F5"/>
            <w:shd w:val="clear" w:fill="F5F7F5"/>
          </w:tcPr>
          <w:p>
            <w:r/>
            <w:r>
              <w:rPr>
                <w:rFonts w:ascii="Calibri" w:hAnsi="Calibri"/>
                <w:b w:val="0"/>
                <w:color w:val="2B2B2B"/>
                <w:sz w:val="20"/>
              </w:rPr>
              <w:t>Sí</w:t>
            </w:r>
          </w:p>
        </w:tc>
        <w:tc>
          <w:tcPr>
            <w:tcW w:type="dxa" w:w="2448"/>
            <w:shd w:val="clear" w:fill="F5F7F5"/>
            <w:shd w:val="clear" w:fill="F5F7F5"/>
          </w:tcPr>
          <w:p>
            <w:r/>
            <w:r>
              <w:rPr>
                <w:rFonts w:ascii="Calibri" w:hAnsi="Calibri"/>
                <w:b w:val="0"/>
                <w:color w:val="2B2B2B"/>
                <w:sz w:val="20"/>
              </w:rPr>
              <w:t>Puntajes 0,614595 / 0,418922 / 0,394371 (pp. 104, 108)</w:t>
            </w:r>
          </w:p>
        </w:tc>
        <w:tc>
          <w:tcPr>
            <w:tcW w:type="dxa" w:w="2448"/>
            <w:shd w:val="clear" w:fill="F5F7F5"/>
            <w:shd w:val="clear" w:fill="F5F7F5"/>
          </w:tcPr>
          <w:p>
            <w:r/>
            <w:r>
              <w:rPr>
                <w:rFonts w:ascii="Calibri" w:hAnsi="Calibri"/>
                <w:b w:val="0"/>
                <w:color w:val="2B2B2B"/>
                <w:sz w:val="20"/>
              </w:rPr>
              <w:t>No se publican los criterios, sus pesos ni las calificaciones parciales: solo el puntaje final. El dato de los «11 criterios ponderados» está solo en la p. 108; la p. 104 nombra seis grupos de criterios</w:t>
            </w:r>
          </w:p>
        </w:tc>
      </w:tr>
      <w:tr>
        <w:tc>
          <w:tcPr>
            <w:tcW w:type="dxa" w:w="2448"/>
          </w:tcPr>
          <w:p>
            <w:r/>
            <w:r>
              <w:rPr>
                <w:rFonts w:ascii="Calibri" w:hAnsi="Calibri"/>
                <w:b w:val="0"/>
                <w:color w:val="2B2B2B"/>
                <w:sz w:val="20"/>
              </w:rPr>
              <w:t>Hipótesis específica 1 (clima y espacio mejoran el desempeño)</w:t>
            </w:r>
          </w:p>
        </w:tc>
        <w:tc>
          <w:tcPr>
            <w:tcW w:type="dxa" w:w="2448"/>
          </w:tcPr>
          <w:p>
            <w:r/>
            <w:r>
              <w:rPr>
                <w:rFonts w:ascii="Calibri" w:hAnsi="Calibri"/>
                <w:b/>
                <w:color w:val="2B2B2B"/>
                <w:sz w:val="20"/>
              </w:rPr>
              <w:t>No contrastada</w:t>
            </w:r>
          </w:p>
        </w:tc>
        <w:tc>
          <w:tcPr>
            <w:tcW w:type="dxa" w:w="2448"/>
          </w:tcPr>
          <w:p>
            <w:r/>
            <w:r>
              <w:rPr>
                <w:rFonts w:ascii="Calibri" w:hAnsi="Calibri"/>
                <w:b w:val="0"/>
                <w:color w:val="2B2B2B"/>
                <w:sz w:val="20"/>
              </w:rPr>
              <w:t>El propio documento lo dice: requiere «comparar los modelos con y sin dichas variables» (pp. 87-88, 94)</w:t>
            </w:r>
          </w:p>
        </w:tc>
        <w:tc>
          <w:tcPr>
            <w:tcW w:type="dxa" w:w="2448"/>
          </w:tcPr>
          <w:p>
            <w:r/>
            <w:r>
              <w:rPr>
                <w:rFonts w:ascii="Calibri" w:hAnsi="Calibri"/>
                <w:b w:val="0"/>
                <w:color w:val="2B2B2B"/>
                <w:sz w:val="20"/>
              </w:rPr>
              <w:t>Ese experimento de ablación no aparece en el capítulo de modelamiento (pp. 95-104). Ojo con el alegato que tienen a mano: la p. 105 afirma que las variables climáticas «fueron incorporadas como predictores y su aporte fue analizado mediante las métricas de desempeño y SHAP» —importancia SHAP no es ablación—. La hipótesis queda abierta y las conclusiones no lo declaran</w:t>
            </w:r>
          </w:p>
        </w:tc>
      </w:tr>
      <w:tr>
        <w:tc>
          <w:tcPr>
            <w:tcW w:type="dxa" w:w="2448"/>
            <w:shd w:val="clear" w:fill="F5F7F5"/>
            <w:shd w:val="clear" w:fill="F5F7F5"/>
          </w:tcPr>
          <w:p>
            <w:r/>
            <w:r>
              <w:rPr>
                <w:rFonts w:ascii="Calibri" w:hAnsi="Calibri"/>
                <w:b w:val="0"/>
                <w:color w:val="2B2B2B"/>
                <w:sz w:val="20"/>
              </w:rPr>
              <w:t>Resultados esperados declarados (AUC &gt; 0,75; recall ≥ 70 %)</w:t>
            </w:r>
          </w:p>
        </w:tc>
        <w:tc>
          <w:tcPr>
            <w:tcW w:type="dxa" w:w="2448"/>
            <w:shd w:val="clear" w:fill="F5F7F5"/>
            <w:shd w:val="clear" w:fill="F5F7F5"/>
          </w:tcPr>
          <w:p>
            <w:r/>
            <w:r>
              <w:rPr>
                <w:rFonts w:ascii="Calibri" w:hAnsi="Calibri"/>
                <w:b/>
                <w:color w:val="2B2B2B"/>
                <w:sz w:val="20"/>
              </w:rPr>
              <w:t>No alcanzados</w:t>
            </w:r>
          </w:p>
        </w:tc>
        <w:tc>
          <w:tcPr>
            <w:tcW w:type="dxa" w:w="2448"/>
            <w:shd w:val="clear" w:fill="F5F7F5"/>
            <w:shd w:val="clear" w:fill="F5F7F5"/>
          </w:tcPr>
          <w:p>
            <w:r/>
            <w:r>
              <w:rPr>
                <w:rFonts w:ascii="Calibri" w:hAnsi="Calibri"/>
                <w:b w:val="0"/>
                <w:color w:val="2B2B2B"/>
                <w:sz w:val="20"/>
              </w:rPr>
              <w:t>Metas en p. 28; logrado AUC 0,616 y recall máximo 0,297 (pp. 97, 111)</w:t>
            </w:r>
          </w:p>
        </w:tc>
        <w:tc>
          <w:tcPr>
            <w:tcW w:type="dxa" w:w="2448"/>
            <w:shd w:val="clear" w:fill="F5F7F5"/>
            <w:shd w:val="clear" w:fill="F5F7F5"/>
          </w:tcPr>
          <w:p>
            <w:r/>
            <w:r>
              <w:rPr>
                <w:rFonts w:ascii="Calibri" w:hAnsi="Calibri"/>
                <w:b w:val="0"/>
                <w:color w:val="2B2B2B"/>
                <w:sz w:val="20"/>
              </w:rPr>
              <w:t xml:space="preserve">Las conclusiones (pp. 110-112) no confrontan la meta con el resultado: leídas íntegras, no aparece «0,75», ni «70 %», ni la palabra «meta». Matiz para no acusar de incumplimiento total: la p. 29 añade dos metas más, y una </w:t>
            </w:r>
            <w:r>
              <w:rPr>
                <w:rFonts w:ascii="Calibri" w:hAnsi="Calibri"/>
                <w:b/>
                <w:color w:val="2B2B2B"/>
                <w:sz w:val="20"/>
              </w:rPr>
              <w:t>sí</w:t>
            </w:r>
            <w:r>
              <w:rPr>
                <w:rFonts w:ascii="Calibri" w:hAnsi="Calibri"/>
                <w:b w:val="0"/>
                <w:color w:val="2B2B2B"/>
                <w:sz w:val="20"/>
              </w:rPr>
              <w:t xml:space="preserve"> se cumplió («identificar al menos cinco variables con alta contribución explicativa mediante análisis SHAP», logrado en la p. 100)</w:t>
            </w:r>
          </w:p>
        </w:tc>
      </w:tr>
    </w:tbl>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Honestidad declarada en los sitios que importan.</w:t>
      </w:r>
      <w:r>
        <w:rPr>
          <w:rFonts w:ascii="Calibri" w:hAnsi="Calibri"/>
          <w:b w:val="0"/>
          <w:color w:val="2B2B2B"/>
          <w:sz w:val="22"/>
        </w:rPr>
        <w:t xml:space="preserve"> El resumen (p. 12), el abstract (p. 14) y la conclusión general (p. 112) dicen que el conjunto no es real y que los resultados no representan el desempeño sobre datos de CENS. Son tres lugares, pero con tres palabras distintas: «construido» (p. 12), «simulated dataset» (p. 14) y «sintético» (p. 112, la única vez en español en todo el documento). No es un trabajo que esconda su límite principal en el documento.</w:t>
      </w:r>
    </w:p>
    <w:p>
      <w:pPr>
        <w:pStyle w:val="ListNumber"/>
      </w:pPr>
      <w:r>
        <w:rPr>
          <w:rFonts w:ascii="Calibri" w:hAnsi="Calibri"/>
          <w:b/>
          <w:color w:val="2B2B2B"/>
          <w:sz w:val="22"/>
        </w:rPr>
        <w:t>La corrección metodológica del panel activo-semana está bien argumentada.</w:t>
      </w:r>
      <w:r>
        <w:rPr>
          <w:rFonts w:ascii="Calibri" w:hAnsi="Calibri"/>
          <w:b w:val="0"/>
          <w:color w:val="2B2B2B"/>
          <w:sz w:val="22"/>
        </w:rPr>
        <w:t xml:space="preserve"> Reconocen que 83.900 eventos OMS son todos positivos y que un problema binario exige construir la clase negativa; lo construyen cruzando 20.900 activos trazables con el calendario semanal (pp. 47-48, 95). Es exactamente la falla conceptual que hunde a muchos trabajos de predicción de fallas, y aquí está resuelta y explicada.</w:t>
      </w:r>
    </w:p>
    <w:p>
      <w:pPr>
        <w:pStyle w:val="ListNumber"/>
      </w:pPr>
      <w:r>
        <w:rPr>
          <w:rFonts w:ascii="Calibri" w:hAnsi="Calibri"/>
          <w:b/>
          <w:color w:val="2B2B2B"/>
          <w:sz w:val="22"/>
        </w:rPr>
        <w:t>Tratamiento explícito de la fuga de información.</w:t>
      </w:r>
      <w:r>
        <w:rPr>
          <w:rFonts w:ascii="Calibri" w:hAnsi="Calibri"/>
          <w:b w:val="0"/>
          <w:color w:val="2B2B2B"/>
          <w:sz w:val="22"/>
        </w:rPr>
        <w:t xml:space="preserve"> Excluyen duración, usuarios afectados, ENS, SAIDI, SAIFI, tipo de falla, causa y tipo de evento como predictoras, con la razón técnica correcta (pp. 49, 96), y el diccionario de datos documenta el uso de cada variable en una columna propia (Tabla 9, pp. 68-70). </w:t>
      </w:r>
      <w:r>
        <w:rPr>
          <w:rFonts w:ascii="Calibri" w:hAnsi="Calibri"/>
          <w:b/>
          <w:color w:val="2B2B2B"/>
          <w:sz w:val="22"/>
        </w:rPr>
        <w:t>Precisión que hay que llevar bien aprendida antes de citarla:</w:t>
      </w:r>
      <w:r>
        <w:rPr>
          <w:rFonts w:ascii="Calibri" w:hAnsi="Calibri"/>
          <w:b w:val="0"/>
          <w:color w:val="2B2B2B"/>
          <w:sz w:val="22"/>
        </w:rPr>
        <w:t xml:space="preserve"> el texto de la p. 68 anuncia una columna «Uso en el modelo» que distinguiría entre predictoras, de segmentación y de respuesta/evaluación, pero la columna real se titula «Uso en el modelo final» y sus valores son «Excluida por data leakage» (las seis variables SCADA y todas las de resultado), «Predictora: NOMBRE» (7 variables), «No incluida como predictora final» (Circuito), «Variable objetivo» (Y) y «Excluidos como predictores; utilizados como contexto/evaluación» (SAIDI/SAIFI). La etiqueta «Segmentación» </w:t>
      </w:r>
      <w:r>
        <w:rPr>
          <w:rFonts w:ascii="Calibri" w:hAnsi="Calibri"/>
          <w:b/>
          <w:color w:val="2B2B2B"/>
          <w:sz w:val="22"/>
        </w:rPr>
        <w:t>no existe</w:t>
      </w:r>
      <w:r>
        <w:rPr>
          <w:rFonts w:ascii="Calibri" w:hAnsi="Calibri"/>
          <w:b w:val="0"/>
          <w:color w:val="2B2B2B"/>
          <w:sz w:val="22"/>
        </w:rPr>
        <w:t xml:space="preserve"> en la tabla: MUNICIPIO y ZONA figuran como predictoras.</w:t>
      </w:r>
    </w:p>
    <w:p>
      <w:pPr>
        <w:pStyle w:val="ListNumber"/>
      </w:pPr>
      <w:r>
        <w:rPr>
          <w:rFonts w:ascii="Calibri" w:hAnsi="Calibri"/>
          <w:b/>
          <w:color w:val="2B2B2B"/>
          <w:sz w:val="22"/>
        </w:rPr>
        <w:t>Interpretación sobria de sus propios resultados.</w:t>
      </w:r>
      <w:r>
        <w:rPr>
          <w:rFonts w:ascii="Calibri" w:hAnsi="Calibri"/>
          <w:b w:val="0"/>
          <w:color w:val="2B2B2B"/>
          <w:sz w:val="22"/>
        </w:rPr>
        <w:t xml:space="preserve"> Con AUC de 0,616 dicen «capacidad predictiva moderada» y que el modelo es «herramienta de priorización y no predictor determinístico» (p. 99); explicitan que la selección de XGBoost no lo hace universalmente superior (p. 104); y advierten que SHAP muestra contribuciones y no causalidad (p. 102).</w:t>
      </w:r>
    </w:p>
    <w:p>
      <w:pPr>
        <w:pStyle w:val="ListNumber"/>
      </w:pPr>
      <w:r>
        <w:rPr>
          <w:rFonts w:ascii="Calibri" w:hAnsi="Calibri"/>
          <w:b/>
          <w:color w:val="2B2B2B"/>
          <w:sz w:val="22"/>
        </w:rPr>
        <w:t>Reportan un falso positivo como caso de prueba.</w:t>
      </w:r>
      <w:r>
        <w:rPr>
          <w:rFonts w:ascii="Calibri" w:hAnsi="Calibri"/>
          <w:b w:val="0"/>
          <w:color w:val="2B2B2B"/>
          <w:sz w:val="22"/>
        </w:rPr>
        <w:t xml:space="preserve"> El activo ACT-012907 fue clasificado de riesgo alto y no falló, y lo dicen (p. 72) en lugar de buscar un caso favorable. Es un gesto de integridad poco frecuente.</w:t>
      </w:r>
    </w:p>
    <w:p>
      <w:pPr>
        <w:pStyle w:val="ListNumber"/>
      </w:pPr>
      <w:r>
        <w:rPr>
          <w:rFonts w:ascii="Calibri" w:hAnsi="Calibri"/>
          <w:b/>
          <w:color w:val="2B2B2B"/>
          <w:sz w:val="22"/>
        </w:rPr>
        <w:t>Anclaje regulatorio real.</w:t>
      </w:r>
      <w:r>
        <w:rPr>
          <w:rFonts w:ascii="Calibri" w:hAnsi="Calibri"/>
          <w:b w:val="0"/>
          <w:color w:val="2B2B2B"/>
          <w:sz w:val="22"/>
        </w:rPr>
        <w:t xml:space="preserve"> CREG 015 de 2018, vigilancia SSPD e IEEE 1366 están usados como marco de decisión y no como adorno (pp. 30-31), y la interpretabilidad se justifica desde la exigencia normativa (p. 22).</w:t>
      </w:r>
    </w:p>
    <w:p>
      <w:pPr>
        <w:pStyle w:val="ListNumber"/>
      </w:pPr>
      <w:r>
        <w:rPr>
          <w:rFonts w:ascii="Calibri" w:hAnsi="Calibri"/>
          <w:b/>
          <w:color w:val="2B2B2B"/>
          <w:sz w:val="22"/>
        </w:rPr>
        <w:t>Arquitectura de datos en cuatro capas</w:t>
      </w:r>
      <w:r>
        <w:rPr>
          <w:rFonts w:ascii="Calibri" w:hAnsi="Calibri"/>
          <w:b w:val="0"/>
          <w:color w:val="2B2B2B"/>
          <w:sz w:val="22"/>
        </w:rPr>
        <w:t xml:space="preserve"> con orquestación, versionado, model registry y monitoreo de deriva, corrigiendo expresamente una versión anterior más pobre (pp. 56-58).</w:t>
      </w:r>
    </w:p>
    <w:p>
      <w:pPr>
        <w:spacing w:before="200" w:after="60"/>
      </w:pPr>
      <w:r>
        <w:rPr>
          <w:rFonts w:ascii="Calibri" w:hAnsi="Calibri"/>
          <w:b/>
          <w:color w:val="007433"/>
          <w:sz w:val="32"/>
        </w:rPr>
        <w:t>4. OBSERVACIONES DEL DOCUMENTO — debilidades y huecos (con página)</w:t>
      </w:r>
    </w:p>
    <w:p>
      <w:pPr>
        <w:pStyle w:val="ListNumber"/>
      </w:pPr>
      <w:r>
        <w:rPr>
          <w:rFonts w:ascii="Calibri" w:hAnsi="Calibri"/>
          <w:b/>
          <w:color w:val="2B2B2B"/>
          <w:sz w:val="22"/>
        </w:rPr>
        <w:t>Contradicciones internas sobre la naturaleza del dato.</w:t>
      </w:r>
      <w:r>
        <w:rPr>
          <w:rFonts w:ascii="Calibri" w:hAnsi="Calibri"/>
          <w:b w:val="0"/>
          <w:color w:val="2B2B2B"/>
          <w:sz w:val="22"/>
        </w:rPr>
        <w:t xml:space="preserve"> En Tipo de investigación: «Se analizan datos históricos reales del sistema» (p. 45). En Validez: «Se garantiza mediante: uso de datos oficiales corporativos» (p. 52). Ambas frases son incompatibles con pp. 14 y 112. Las notas de las figuras atribuyen la fuente a «Distribuidora de Energía, Norte de Santander (2019-2025)» (pp. 86, 87 y también 89, Figura 8: el patrón es más extenso de lo que parece), como si fuera el operador real. La sustentación no arrastra esta contradicción: la resuelve por supresión —la palabra no aparece en ninguna de las 15 diapositivas—, y eso es la §5, punto 1.</w:t>
      </w:r>
    </w:p>
    <w:p>
      <w:pPr>
        <w:pStyle w:val="ListNumber"/>
      </w:pPr>
      <w:r>
        <w:rPr>
          <w:rFonts w:ascii="Calibri" w:hAnsi="Calibri"/>
          <w:b/>
          <w:color w:val="2B2B2B"/>
          <w:sz w:val="22"/>
        </w:rPr>
        <w:t>Restos de una versión anterior que se contradicen con los resultados finales.</w:t>
      </w:r>
      <w:r>
        <w:rPr>
          <w:rFonts w:ascii="Calibri" w:hAnsi="Calibri"/>
          <w:b w:val="0"/>
          <w:color w:val="2B2B2B"/>
          <w:sz w:val="22"/>
        </w:rPr>
        <w:t xml:space="preserve"> La p. 29 afirma que la verificación cuantitativa de las metas «no forma parte del alcance ejecutado en esta entrega»; la p. 45 dice que el entrenamiento y la comparación real «queda fuera de los límites ejecutados»; la p. 55 dice que la Fase 5 «constituye la línea de trabajo recomendada para que CENS… ejecute»; la p. 77 dice que la aptitud del panel «se confirmará una vez se complete su construcción». Todo eso convive con pp. 96-108, donde el entrenamiento, la evaluación, SHAP y la matriz multicriterio </w:t>
      </w:r>
      <w:r>
        <w:rPr>
          <w:rFonts w:ascii="Calibri" w:hAnsi="Calibri"/>
          <w:b/>
          <w:color w:val="2B2B2B"/>
          <w:sz w:val="22"/>
        </w:rPr>
        <w:t>sí</w:t>
      </w:r>
      <w:r>
        <w:rPr>
          <w:rFonts w:ascii="Calibri" w:hAnsi="Calibri"/>
          <w:b w:val="0"/>
          <w:color w:val="2B2B2B"/>
          <w:sz w:val="22"/>
        </w:rPr>
        <w:t xml:space="preserve"> están ejecutados. Un jurado que lea solo la metodología concluye que no hubo modelos. </w:t>
      </w:r>
      <w:r>
        <w:rPr>
          <w:rFonts w:ascii="Calibri" w:hAnsi="Calibri"/>
          <w:b/>
          <w:color w:val="2B2B2B"/>
          <w:sz w:val="22"/>
        </w:rPr>
        <w:t>Agravante: en la p. 55 la contradicción no exige cruzar dos capítulos, cabe en una hoja</w:t>
      </w:r>
      <w:r>
        <w:rPr>
          <w:rFonts w:ascii="Calibri" w:hAnsi="Calibri"/>
          <w:b w:val="0"/>
          <w:color w:val="2B2B2B"/>
          <w:sz w:val="22"/>
        </w:rPr>
        <w:t xml:space="preserve"> —el encabezado dice «Fase 5: Interpretabilidad y Selección — Estado: Ejecutada; análisis SHAP y matriz multicriterio para selección del modelo» y cuatro líneas más abajo la última viñeta de esa misma fase la manda a CENS—.</w:t>
      </w:r>
    </w:p>
    <w:p>
      <w:pPr>
        <w:pStyle w:val="ListNumber"/>
      </w:pPr>
      <w:r>
        <w:rPr>
          <w:rFonts w:ascii="Calibri" w:hAnsi="Calibri"/>
          <w:b/>
          <w:color w:val="2B2B2B"/>
          <w:sz w:val="22"/>
        </w:rPr>
        <w:t>Desbalance de clases declarado que no cuadra con la aritmética del propio documento.</w:t>
      </w:r>
      <w:r>
        <w:rPr>
          <w:rFonts w:ascii="Calibri" w:hAnsi="Calibri"/>
          <w:b w:val="0"/>
          <w:color w:val="2B2B2B"/>
          <w:sz w:val="22"/>
        </w:rPr>
        <w:t xml:space="preserve"> Las pp. 49 </w:t>
      </w:r>
      <w:r>
        <w:rPr>
          <w:rFonts w:ascii="Calibri" w:hAnsi="Calibri"/>
          <w:b/>
          <w:color w:val="2B2B2B"/>
          <w:sz w:val="22"/>
        </w:rPr>
        <w:t>y 51</w:t>
      </w:r>
      <w:r>
        <w:rPr>
          <w:rFonts w:ascii="Calibri" w:hAnsi="Calibri"/>
          <w:b w:val="0"/>
          <w:color w:val="2B2B2B"/>
          <w:sz w:val="22"/>
        </w:rPr>
        <w:t xml:space="preserve"> fijan la clase positiva en «aproximadamente el 18 %» y la negativa en 82 %, así que no es un desliz aislado de una página. Pero el panel tiene 7.413.024 filas (6.409.824 + 1.003.200, p. 96) y como máximo 83.900 pueden ser positivas (p. 47): 83.900 / 7.413.024 = </w:t>
      </w:r>
      <w:r>
        <w:rPr>
          <w:rFonts w:ascii="Calibri" w:hAnsi="Calibri"/>
          <w:b/>
          <w:color w:val="2B2B2B"/>
          <w:sz w:val="22"/>
        </w:rPr>
        <w:t>1,132 %</w:t>
      </w:r>
      <w:r>
        <w:rPr>
          <w:rFonts w:ascii="Calibri" w:hAnsi="Calibri"/>
          <w:b w:val="0"/>
          <w:color w:val="2B2B2B"/>
          <w:sz w:val="22"/>
        </w:rPr>
        <w:t>, no 18 %. Un tercer número, el PR-AUC de 0,053 (p. 97), apunta a algo cercano al 5 %; y un cuarto sale de la Figura 10 (p. 97), que sí es legible: con accuracy ≈0,84, especificidad ≈0,86 y recall ≈0,25 para XGBoost, la prevalencia implícita de la prueba de 2025 es ≈3,5 %. Cuatro cifras incompatibles: al menos tres son falsas. En las diapositivas este problema es invisible: «18 %», «prevalencia» y «desbalance» dan cero coincidencias en las 15 (§5, punto 7).</w:t>
      </w:r>
    </w:p>
    <w:p>
      <w:pPr>
        <w:pStyle w:val="ListNumber"/>
      </w:pPr>
      <w:r>
        <w:rPr>
          <w:rFonts w:ascii="Calibri" w:hAnsi="Calibri"/>
          <w:b/>
          <w:color w:val="2B2B2B"/>
          <w:sz w:val="22"/>
        </w:rPr>
        <w:t>Las particiones declaradas no son las ejecutadas.</w:t>
      </w:r>
      <w:r>
        <w:rPr>
          <w:rFonts w:ascii="Calibri" w:hAnsi="Calibri"/>
          <w:b w:val="0"/>
          <w:color w:val="2B2B2B"/>
          <w:sz w:val="22"/>
        </w:rPr>
        <w:t xml:space="preserve"> La p. 51 y la Tabla 11 (p. 76) fijan 70 % / 30 %; la p. 96 reporta 2019-2024 contra 2025, que es 86,5 % / 13,5 % (6.409.824 y 1.003.200 sobre 7.413.024). También se anuncia partición por circuito (pp. 51, 53 y 55) y «validación cruzada k-fold estratificada por circuito» (</w:t>
      </w:r>
      <w:r>
        <w:rPr>
          <w:rFonts w:ascii="Calibri" w:hAnsi="Calibri"/>
          <w:b/>
          <w:color w:val="2B2B2B"/>
          <w:sz w:val="22"/>
        </w:rPr>
        <w:t>solo p. 51</w:t>
      </w:r>
      <w:r>
        <w:rPr>
          <w:rFonts w:ascii="Calibri" w:hAnsi="Calibri"/>
          <w:b w:val="0"/>
          <w:color w:val="2B2B2B"/>
          <w:sz w:val="22"/>
        </w:rPr>
        <w:t>), que no aparecen en resultados. El mazo proyecta las dos particiones incompatibles en dos diapositivas distintas y anuncia dos veces la validación cruzada: §5, puntos 9 y 6.</w:t>
      </w:r>
    </w:p>
    <w:p>
      <w:pPr>
        <w:pStyle w:val="ListNumber"/>
      </w:pPr>
      <w:r>
        <w:rPr>
          <w:rFonts w:ascii="Calibri" w:hAnsi="Calibri"/>
          <w:b/>
          <w:color w:val="2B2B2B"/>
          <w:sz w:val="22"/>
        </w:rPr>
        <w:t>Umbrales de decisión radicalmente distintos entre modelos:</w:t>
      </w:r>
      <w:r>
        <w:rPr>
          <w:rFonts w:ascii="Calibri" w:hAnsi="Calibri"/>
          <w:b w:val="0"/>
          <w:color w:val="2B2B2B"/>
          <w:sz w:val="22"/>
        </w:rPr>
        <w:t xml:space="preserve"> 0,60 para Regresión Logística, 0,57 para Random Forest y </w:t>
      </w:r>
      <w:r>
        <w:rPr>
          <w:rFonts w:ascii="Calibri" w:hAnsi="Calibri"/>
          <w:b/>
          <w:color w:val="2B2B2B"/>
          <w:sz w:val="22"/>
        </w:rPr>
        <w:t>0,05</w:t>
      </w:r>
      <w:r>
        <w:rPr>
          <w:rFonts w:ascii="Calibri" w:hAnsi="Calibri"/>
          <w:b w:val="0"/>
          <w:color w:val="2B2B2B"/>
          <w:sz w:val="22"/>
        </w:rPr>
        <w:t xml:space="preserve"> para XGBoost (p. 97). Precision, recall y F1 son métricas dependientes del umbral: compararlas con umbrales que difieren en un orden de magnitud no es una comparación entre iguales, y la selección de XGBoost se apoya en parte en esas métricas. Ninguno de los tres umbrales llega a la pantalla (§5, punto 7).</w:t>
      </w:r>
    </w:p>
    <w:p>
      <w:pPr>
        <w:pStyle w:val="ListNumber"/>
      </w:pPr>
      <w:r>
        <w:rPr>
          <w:rFonts w:ascii="Calibri" w:hAnsi="Calibri"/>
          <w:b/>
          <w:color w:val="2B2B2B"/>
          <w:sz w:val="22"/>
        </w:rPr>
        <w:t>Del prototipo no hay una sola imagen.</w:t>
      </w:r>
      <w:r>
        <w:rPr>
          <w:rFonts w:ascii="Calibri" w:hAnsi="Calibri"/>
          <w:b w:val="0"/>
          <w:color w:val="2B2B2B"/>
          <w:sz w:val="22"/>
        </w:rPr>
        <w:t xml:space="preserve"> La p. 71 afirma «prototipo funcional en Streamlit»; la lista de figuras tiene 16 figuras y ninguna es una captura del tablero (p. 11). Verificado además a nivel de imágenes incrustadas: el PDF tiene 21 imágenes en total —el logo de la p. 1, dos firmas repetidas en las pp. 16 y 17, y las 16 figuras, en las pp. 57, 79, 81, 82, 84, 86, 87, 89, 91, 97, 98, 99, 101, 102 y 103— y </w:t>
      </w:r>
      <w:r>
        <w:rPr>
          <w:rFonts w:ascii="Calibri" w:hAnsi="Calibri"/>
          <w:b/>
          <w:color w:val="2B2B2B"/>
          <w:sz w:val="22"/>
        </w:rPr>
        <w:t>las pp. 71 y 72 no contienen ninguna imagen</w:t>
      </w:r>
      <w:r>
        <w:rPr>
          <w:rFonts w:ascii="Calibri" w:hAnsi="Calibri"/>
          <w:b w:val="0"/>
          <w:color w:val="2B2B2B"/>
          <w:sz w:val="22"/>
        </w:rPr>
        <w:t xml:space="preserve">. Además, en el mismo capítulo la p. 72 dice que «la especificación técnica del producto… </w:t>
      </w:r>
      <w:r>
        <w:rPr>
          <w:rFonts w:ascii="Calibri" w:hAnsi="Calibri"/>
          <w:b/>
          <w:color w:val="2B2B2B"/>
          <w:sz w:val="22"/>
        </w:rPr>
        <w:t>sí</w:t>
      </w:r>
      <w:r>
        <w:rPr>
          <w:rFonts w:ascii="Calibri" w:hAnsi="Calibri"/>
          <w:b w:val="0"/>
          <w:color w:val="2B2B2B"/>
          <w:sz w:val="22"/>
        </w:rPr>
        <w:t xml:space="preserve"> forma parte del alcance ejecutado» y la nota de la Tabla 10 precisa que lo que queda fuera es «su ejecución sobre una implementación real y sobre datos operativos de CENS» (p. 74) —cita completa, porque recortada en «no forma parte del alcance ejecutado» parece negar el prototipo y no lo niega—, mientras Streamlit aparece en la lista de tecnologías «recomendadas para una eventual implementación», «documentada como recomendación técnica y no como stack ya implementado» (p. 73). El documento declara el prototipo dos veces (pp. 71 y 112); lo que no aporta es una sola evidencia visual de él. La diapositiva 13 hace tres cosas más con ese mismo material —lo declara producto, cambia el tiempo verbal de la Tabla 10 y rotula las tecnologías como «utilizadas»— y tampoco trae captura: §5, puntos 11 y 12.</w:t>
      </w:r>
    </w:p>
    <w:p>
      <w:pPr>
        <w:pStyle w:val="ListNumber"/>
      </w:pPr>
      <w:r>
        <w:rPr>
          <w:rFonts w:ascii="Calibri" w:hAnsi="Calibri"/>
          <w:b/>
          <w:color w:val="2B2B2B"/>
          <w:sz w:val="22"/>
        </w:rPr>
        <w:t>Dos probabilidades distintas para el mismo activo.</w:t>
      </w:r>
      <w:r>
        <w:rPr>
          <w:rFonts w:ascii="Calibri" w:hAnsi="Calibri"/>
          <w:b w:val="0"/>
          <w:color w:val="2B2B2B"/>
          <w:sz w:val="22"/>
        </w:rPr>
        <w:t xml:space="preserve"> El caso oficial da P(falla)=0,345 (p. 72) y la Figura 14 da 0,236 para ACT-012907 (p. 102). El documento lo advierte en una nota metodológica (p. 104), lo cual está bien. Lo que el mazo hace con esas dos cifras —ponerlas en diapositivas consecutivas y dejar la nota fuera— es la §5, punto 10.</w:t>
      </w:r>
    </w:p>
    <w:p>
      <w:pPr>
        <w:pStyle w:val="ListNumber"/>
      </w:pPr>
      <w:r>
        <w:rPr>
          <w:rFonts w:ascii="Calibri" w:hAnsi="Calibri"/>
          <w:b/>
          <w:color w:val="2B2B2B"/>
          <w:sz w:val="22"/>
        </w:rPr>
        <w:t>Hipótesis 1 e hipótesis 2 sin cierre formal.</w:t>
      </w:r>
      <w:r>
        <w:rPr>
          <w:rFonts w:ascii="Calibri" w:hAnsi="Calibri"/>
          <w:b w:val="0"/>
          <w:color w:val="2B2B2B"/>
          <w:sz w:val="22"/>
        </w:rPr>
        <w:t xml:space="preserve"> La 1 exige una ablación que no se hizo (pp. 87-88, 94). La 2 (Random Forest con mayor recall que la regresión logística) se enuncia en la p. 111 solo con el recall de Random Forest, 0,297; el de la regresión logística </w:t>
      </w:r>
      <w:r>
        <w:rPr>
          <w:rFonts w:ascii="Calibri" w:hAnsi="Calibri"/>
          <w:b/>
          <w:color w:val="2B2B2B"/>
          <w:sz w:val="22"/>
        </w:rPr>
        <w:t>no está en ninguna tabla ni en el texto</w:t>
      </w:r>
      <w:r>
        <w:rPr>
          <w:rFonts w:ascii="Calibri" w:hAnsi="Calibri"/>
          <w:b w:val="0"/>
          <w:color w:val="2B2B2B"/>
          <w:sz w:val="22"/>
        </w:rPr>
        <w:t>, pero sí es legible en la Figura 10 (p. 97), donde su barra de RECALL está en ≈0,21 frente a ≈0,25 de XGBoost. O sea: la hipótesis 2 queda sostenida gráficamente, y lo que falta es tabular el dato, no el dato. Si se pregunta, se pregunta así: «el recall de la regresión logística está en la Figura 10 pero no en la Tabla 13, ¿por qué?».</w:t>
      </w:r>
    </w:p>
    <w:p>
      <w:pPr>
        <w:pStyle w:val="ListNumber"/>
      </w:pPr>
      <w:r>
        <w:rPr>
          <w:rFonts w:ascii="Calibri" w:hAnsi="Calibri"/>
          <w:b/>
          <w:color w:val="2B2B2B"/>
          <w:sz w:val="22"/>
        </w:rPr>
        <w:t>Referencias:</w:t>
      </w:r>
      <w:r>
        <w:rPr>
          <w:rFonts w:ascii="Calibri" w:hAnsi="Calibri"/>
          <w:b w:val="0"/>
          <w:color w:val="2B2B2B"/>
          <w:sz w:val="22"/>
        </w:rPr>
        <w:t xml:space="preserve"> ~28 entradas con buen núcleo arbitrado (IEEE, Springer, Elsevier), pero incluye Wikipedia como fuente sobre CENS y USA Today (p. 115) y PowerOutage.us (</w:t>
      </w:r>
      <w:r>
        <w:rPr>
          <w:rFonts w:ascii="Calibri" w:hAnsi="Calibri"/>
          <w:b/>
          <w:color w:val="2B2B2B"/>
          <w:sz w:val="22"/>
        </w:rPr>
        <w:t>p. 114</w:t>
      </w:r>
      <w:r>
        <w:rPr>
          <w:rFonts w:ascii="Calibri" w:hAnsi="Calibri"/>
          <w:b w:val="0"/>
          <w:color w:val="2B2B2B"/>
          <w:sz w:val="22"/>
        </w:rPr>
        <w:t xml:space="preserve">, no la 115), y una entrada sin título de artículo, «Sánchez, H. N., &amp; Pérez Santos, A. S. (2005). Revista Tecnura» (p. 114). Dos entradas usan el nombre de la revista como autor: «Measurement. (2021)» (p. 114) y «Energy Informatics. (2025)» (p. 113). Y hay una cita sin entrada: Guidotti y otros se cita en las pp. 22, 27 y 33 y no aparece en la bibliografía. El documento </w:t>
      </w:r>
      <w:r>
        <w:rPr>
          <w:rFonts w:ascii="Calibri" w:hAnsi="Calibri"/>
          <w:b/>
          <w:color w:val="2B2B2B"/>
          <w:sz w:val="22"/>
        </w:rPr>
        <w:t>no reporta índice de similitud ni informe antiplagio</w:t>
      </w:r>
      <w:r>
        <w:rPr>
          <w:rFonts w:ascii="Calibri" w:hAnsi="Calibri"/>
          <w:b w:val="0"/>
          <w:color w:val="2B2B2B"/>
          <w:sz w:val="22"/>
        </w:rPr>
        <w:t xml:space="preserve"> (buscadas en las 115 páginas las cadenas «similitud», «Turnitin», «plagio» y «antiplagi»: cero coincidencias), ni declara uso de IA generativa («IA generativa» y «ChatGPT»: cero), ni trae ningún «Anexo». Curiosidad que juega a su favor y hay que decirla en sala: la bibliografía de la sustentación está mejor armada que la del documento y hasta repara una de sus faltas (§5, punto 14).</w:t>
      </w:r>
    </w:p>
    <w:p>
      <w:pPr>
        <w:pStyle w:val="ListNumber"/>
      </w:pPr>
      <w:r>
        <w:rPr>
          <w:rFonts w:ascii="Calibri" w:hAnsi="Calibri"/>
          <w:b/>
          <w:color w:val="2B2B2B"/>
          <w:sz w:val="22"/>
        </w:rPr>
        <w:t>Estructura desordenada en el tramo final.</w:t>
      </w:r>
      <w:r>
        <w:rPr>
          <w:rFonts w:ascii="Calibri" w:hAnsi="Calibri"/>
          <w:b w:val="0"/>
          <w:color w:val="2B2B2B"/>
          <w:sz w:val="22"/>
        </w:rPr>
        <w:t xml:space="preserve"> «Síntesis de hallazgos del análisis exploratorio» va en la p. 105, después del capítulo de modelamiento (pp. 95-104). El capítulo de modelamiento abre con el subtítulo «Influencia de la edad de los activos» (p. 95), copiado del apartado exploratorio de la p. 89, cuando su contenido es la construcción del panel. La p. 107 empieza con «En su lugar, presenta el alcance…», frase que quedó huérfana de su antecedente.</w:t>
      </w:r>
    </w:p>
    <w:p>
      <w:pPr>
        <w:pStyle w:val="ListNumber"/>
      </w:pPr>
      <w:r>
        <w:rPr>
          <w:rFonts w:ascii="Calibri" w:hAnsi="Calibri"/>
          <w:b/>
          <w:color w:val="2B2B2B"/>
          <w:sz w:val="22"/>
        </w:rPr>
        <w:t>Ninguna variable de SCADA entra al modelo final, y el título vende la integración SCADA-OMS-GIS.</w:t>
      </w:r>
      <w:r>
        <w:rPr>
          <w:rFonts w:ascii="Calibri" w:hAnsi="Calibri"/>
          <w:b w:val="0"/>
          <w:color w:val="2B2B2B"/>
          <w:sz w:val="22"/>
        </w:rPr>
        <w:t xml:space="preserve"> Es el hueco que sostiene la pregunta 1 y el único que toca el título. En la Tabla 9 (p. 68) las seis variables de SCADA —corriente, voltaje, potencia, factor de potencia, frecuencia y alarmas— están marcadas «Excluida por data leakage», y ninguna de las quince variables del resumen SHAP (Figura 13, p. 101) proviene de SCADA: son GIS, calendario, clima e historial OMS. La decisión de excluirlas es </w:t>
      </w:r>
      <w:r>
        <w:rPr>
          <w:rFonts w:ascii="Calibri" w:hAnsi="Calibri"/>
          <w:b/>
          <w:color w:val="2B2B2B"/>
          <w:sz w:val="22"/>
        </w:rPr>
        <w:t>correcta</w:t>
      </w:r>
      <w:r>
        <w:rPr>
          <w:rFonts w:ascii="Calibri" w:hAnsi="Calibri"/>
          <w:b w:val="0"/>
          <w:color w:val="2B2B2B"/>
          <w:sz w:val="22"/>
        </w:rPr>
        <w:t xml:space="preserve"> —son mediciones del evento o posteriores a él—, pero el documento anuncia dos veces lo contrario: la p. 49 promete como «Predictora» las variables «eléctricas de SCADA» y la Tabla 2 (p. 54) lista «Nivel de carga promedio — SCADA» como variable independiente. Del objetivo 1 (p. 25) SCADA queda en el ETL y en la arquitectura; del resultado predictivo, en nada. En pantalla la promesa se agrava dos veces: la diapositiva 8 entra </w:t>
      </w:r>
      <w:r>
        <w:rPr>
          <w:rFonts w:ascii="Calibri" w:hAnsi="Calibri"/>
          <w:b/>
          <w:color w:val="2B2B2B"/>
          <w:sz w:val="22"/>
        </w:rPr>
        <w:t>cuatro</w:t>
      </w:r>
      <w:r>
        <w:rPr>
          <w:rFonts w:ascii="Calibri" w:hAnsi="Calibri"/>
          <w:b w:val="0"/>
          <w:color w:val="2B2B2B"/>
          <w:sz w:val="22"/>
        </w:rPr>
        <w:t xml:space="preserve"> fuentes, no tres, y la 12 pone la cuarta —el clima— entre los cinco predictores principales (§5, punto 3).</w:t>
      </w:r>
    </w:p>
    <w:p>
      <w:r>
        <w:rPr>
          <w:rFonts w:ascii="Calibri" w:hAnsi="Calibri"/>
          <w:b/>
          <w:color w:val="2B2B2B"/>
          <w:sz w:val="22"/>
        </w:rPr>
        <w:t>Forma (no se pregunta en sala):</w:t>
      </w:r>
      <w:r>
        <w:rPr>
          <w:rFonts w:ascii="Calibri" w:hAnsi="Calibri"/>
          <w:b w:val="0"/>
          <w:color w:val="2B2B2B"/>
          <w:sz w:val="22"/>
        </w:rPr>
        <w:t xml:space="preserve"> la Declaración de originalidad dice «Especialización en </w:t>
      </w:r>
      <w:r>
        <w:rPr>
          <w:rFonts w:ascii="Calibri" w:hAnsi="Calibri"/>
          <w:b/>
          <w:color w:val="2B2B2B"/>
          <w:sz w:val="22"/>
        </w:rPr>
        <w:t>Analítica de Datos</w:t>
      </w:r>
      <w:r>
        <w:rPr>
          <w:rFonts w:ascii="Calibri" w:hAnsi="Calibri"/>
          <w:b w:val="0"/>
          <w:color w:val="2B2B2B"/>
          <w:sz w:val="22"/>
        </w:rPr>
        <w:t>» en lugar de Transformación Digital (p. 16), mientras la portada (p. 1) sí dice Transformación Digital —y la diapositiva 1, también—. Partición de palabras dentro de líneas por el interlineado del PDF («Cur vas» en el pie de la Figura 11, p. 98, y en la Lista de figuras, p. 11; «activo -semana» con espacio en las pp. 12, 48, 51, 58 y 77). Los descuidos de forma del mazo van al final de la §5.</w:t>
      </w:r>
    </w:p>
    <w:p>
      <w:pPr>
        <w:spacing w:before="200" w:after="60"/>
      </w:pPr>
      <w:r>
        <w:rPr>
          <w:rFonts w:ascii="Calibri" w:hAnsi="Calibri"/>
          <w:b/>
          <w:color w:val="007433"/>
          <w:sz w:val="32"/>
        </w:rPr>
        <w:t>5. OBSERVACIONES DE LAS DIAPOSITIVAS — qué proyectan y en qué se separan del documento</w:t>
      </w:r>
    </w:p>
    <w:p>
      <w:r>
        <w:rPr>
          <w:rFonts w:ascii="Calibri" w:hAnsi="Calibri"/>
          <w:b/>
          <w:color w:val="2B2B2B"/>
          <w:sz w:val="22"/>
        </w:rPr>
        <w:t>Mazo:</w:t>
      </w:r>
      <w:r>
        <w:rPr>
          <w:rFonts w:ascii="Calibri" w:hAnsi="Calibri"/>
          <w:b w:val="0"/>
          <w:color w:val="2B2B2B"/>
          <w:sz w:val="22"/>
        </w:rPr>
        <w:t xml:space="preserve"> </w:t>
      </w:r>
      <w:r>
        <w:rPr>
          <w:rFonts w:ascii="Consolas" w:hAnsi="Consolas"/>
          <w:color w:val="111111"/>
          <w:sz w:val="21"/>
        </w:rPr>
        <w:t>Sustentación proyecto de grado.pdf</w:t>
      </w:r>
      <w:r>
        <w:rPr>
          <w:rFonts w:ascii="Calibri" w:hAnsi="Calibri"/>
          <w:b w:val="0"/>
          <w:color w:val="2B2B2B"/>
          <w:sz w:val="22"/>
        </w:rPr>
        <w:t xml:space="preserve"> — </w:t>
      </w:r>
      <w:r>
        <w:rPr>
          <w:rFonts w:ascii="Calibri" w:hAnsi="Calibri"/>
          <w:b/>
          <w:color w:val="2B2B2B"/>
          <w:sz w:val="22"/>
        </w:rPr>
        <w:t>15 diapositivas</w:t>
      </w:r>
      <w:r>
        <w:rPr>
          <w:rFonts w:ascii="Calibri" w:hAnsi="Calibri"/>
          <w:b w:val="0"/>
          <w:color w:val="2B2B2B"/>
          <w:sz w:val="22"/>
        </w:rPr>
        <w:t xml:space="preserve"> (1 portada · 2 el equipo y la dirección · 3 introducción · 4 problema · 5 pregunta central · 6 objetivos · 7 metodología, CRISP-DM, población y muestra · 8 arquitectura de datos · 9 validación del ETL · 10 resultados preliminares y hallazgos · 11 modelamiento y comparación · 12 interpretabilidad SHAP · 13 el producto · 14 conclusiones · 15 referencias).</w:t>
      </w:r>
    </w:p>
    <w:p>
      <w:r>
        <w:rPr>
          <w:rFonts w:ascii="Calibri" w:hAnsi="Calibri"/>
          <w:b w:val="0"/>
          <w:color w:val="2B2B2B"/>
          <w:sz w:val="22"/>
        </w:rPr>
        <w:t xml:space="preserve">El mazo está mejor hecho de lo que suele estarlo: redondea bien (0,615 es 0,614595; 0,419 es 0,418922; 0,394 es 0,394371, p. 108), reproduce la nota de no causalidad de SHAP, reporta el falso positivo del caso de prueba y su bibliografía repara una falta del documento. Y sin embargo </w:t>
      </w:r>
      <w:r>
        <w:rPr>
          <w:rFonts w:ascii="Calibri" w:hAnsi="Calibri"/>
          <w:b/>
          <w:color w:val="2B2B2B"/>
          <w:sz w:val="22"/>
        </w:rPr>
        <w:t>le quita al trabajo la única frase de la que depende toda la evaluación</w:t>
      </w:r>
      <w:r>
        <w:rPr>
          <w:rFonts w:ascii="Calibri" w:hAnsi="Calibri"/>
          <w:b w:val="0"/>
          <w:color w:val="2B2B2B"/>
          <w:sz w:val="22"/>
        </w:rPr>
        <w:t xml:space="preserve">. Comprobado cadena por cadena en las 15 diapositivas: «sintético» y «simulado» dan </w:t>
      </w:r>
      <w:r>
        <w:rPr>
          <w:rFonts w:ascii="Calibri" w:hAnsi="Calibri"/>
          <w:b/>
          <w:color w:val="2B2B2B"/>
          <w:sz w:val="22"/>
        </w:rPr>
        <w:t>cero coincidencias</w:t>
      </w:r>
      <w:r>
        <w:rPr>
          <w:rFonts w:ascii="Calibri" w:hAnsi="Calibri"/>
          <w:b w:val="0"/>
          <w:color w:val="2B2B2B"/>
          <w:sz w:val="22"/>
        </w:rPr>
        <w:t xml:space="preserve">; también dan cero «PR-AUC», «0,053», «umbral», «0,05», «prevalencia», «desbalance», «18 %», «hipótesis», «limitaciones», «alcance», «k-fold», «similitud» y «futuro». El mazo no contradice tanto al documento como lo </w:t>
      </w:r>
      <w:r>
        <w:rPr>
          <w:rFonts w:ascii="Calibri" w:hAnsi="Calibri"/>
          <w:b/>
          <w:color w:val="2B2B2B"/>
          <w:sz w:val="22"/>
        </w:rPr>
        <w:t>edita</w:t>
      </w:r>
      <w:r>
        <w:rPr>
          <w:rFonts w:ascii="Calibri" w:hAnsi="Calibri"/>
          <w:b w:val="0"/>
          <w:color w:val="2B2B2B"/>
          <w:sz w:val="22"/>
        </w:rPr>
        <w:t>: conserva cada número que favorece al trabajo y suelta cada matiz que lo acota. Al mismo tiempo pone en pantalla seis cifras que no existen en ninguna de las 115 páginas. Eso es lo que hay que resolver en sala, y conviene resolverlo sin ánimo acusatorio: lo que el mazo omite, el documento sí lo declara.</w:t>
      </w:r>
    </w:p>
    <w:p>
      <w:pPr>
        <w:pStyle w:val="ListNumber"/>
      </w:pPr>
      <w:r>
        <w:rPr>
          <w:rFonts w:ascii="Calibri" w:hAnsi="Calibri"/>
          <w:b/>
          <w:color w:val="2B2B2B"/>
          <w:sz w:val="22"/>
        </w:rPr>
        <w:t>El carácter sintético del conjunto no está en ninguna diapositiva.</w:t>
      </w:r>
      <w:r>
        <w:rPr>
          <w:rFonts w:ascii="Calibri" w:hAnsi="Calibri"/>
          <w:b w:val="0"/>
          <w:color w:val="2B2B2B"/>
          <w:sz w:val="22"/>
        </w:rPr>
        <w:t xml:space="preserve"> La 7 presenta como </w:t>
      </w:r>
      <w:r>
        <w:rPr>
          <w:rFonts w:ascii="Calibri" w:hAnsi="Calibri"/>
          <w:b/>
          <w:color w:val="2B2B2B"/>
          <w:sz w:val="22"/>
        </w:rPr>
        <w:t>POBLACIÓN</w:t>
      </w:r>
      <w:r>
        <w:rPr>
          <w:rFonts w:ascii="Calibri" w:hAnsi="Calibri"/>
          <w:b w:val="0"/>
          <w:color w:val="2B2B2B"/>
          <w:sz w:val="22"/>
        </w:rPr>
        <w:t xml:space="preserve"> «87.500 eventos históricos de interrupción + 600.000 usuarios CENS» y la 10 titula «600.000 usuarios analizados», «40 subestaciones», «24.860 transformadores de distribución» y «11.778 km red de media tensión». </w:t>
      </w:r>
      <w:r>
        <w:rPr>
          <w:rFonts w:ascii="Calibri" w:hAnsi="Calibri"/>
          <w:b/>
          <w:color w:val="2B2B2B"/>
          <w:sz w:val="22"/>
        </w:rPr>
        <w:t>Precisión que hay que llevar bien aprendida para no acusar de invención:</w:t>
      </w:r>
      <w:r>
        <w:rPr>
          <w:rFonts w:ascii="Calibri" w:hAnsi="Calibri"/>
          <w:b w:val="0"/>
          <w:color w:val="2B2B2B"/>
          <w:sz w:val="22"/>
        </w:rPr>
        <w:t xml:space="preserve"> esas cuatro cifras </w:t>
      </w:r>
      <w:r>
        <w:rPr>
          <w:rFonts w:ascii="Calibri" w:hAnsi="Calibri"/>
          <w:b/>
          <w:color w:val="2B2B2B"/>
          <w:sz w:val="22"/>
        </w:rPr>
        <w:t>sí están en el documento</w:t>
      </w:r>
      <w:r>
        <w:rPr>
          <w:rFonts w:ascii="Calibri" w:hAnsi="Calibri"/>
          <w:b w:val="0"/>
          <w:color w:val="2B2B2B"/>
          <w:sz w:val="22"/>
        </w:rPr>
        <w:t xml:space="preserve">, en la p. 47, que define la población como el conjunto completo de activos e interrupciones del operador y las atribuye a «informes técnicos del operador». El reparo es otro y es doble. Primero, la palabra que las califica en las pp. 12, 14 y 112 —«construido», «simulated dataset», «sintético»— no llega a la pantalla ni una vez. Segundo, la diapositiva 10 convierte «usuarios que atiende el mercado» en «usuarios </w:t>
      </w:r>
      <w:r>
        <w:rPr>
          <w:rFonts w:ascii="Calibri" w:hAnsi="Calibri"/>
          <w:b/>
          <w:color w:val="2B2B2B"/>
          <w:sz w:val="22"/>
        </w:rPr>
        <w:t>analizados</w:t>
      </w:r>
      <w:r>
        <w:rPr>
          <w:rFonts w:ascii="Calibri" w:hAnsi="Calibri"/>
          <w:b w:val="0"/>
          <w:color w:val="2B2B2B"/>
          <w:sz w:val="22"/>
        </w:rPr>
        <w:t xml:space="preserve">»: nada analizó 600.000 usuarios, el panel tiene 20.900 activos y 83.900 eventos (Tabla 11, p. 76), y «usuarios» solo entra al trabajo como la variable de resultado </w:t>
      </w:r>
      <w:r>
        <w:rPr>
          <w:rFonts w:ascii="Calibri" w:hAnsi="Calibri"/>
          <w:i/>
          <w:color w:val="2B2B2B"/>
          <w:sz w:val="22"/>
        </w:rPr>
        <w:t>usuarios afectados</w:t>
      </w:r>
      <w:r>
        <w:rPr>
          <w:rFonts w:ascii="Calibri" w:hAnsi="Calibri"/>
          <w:b w:val="0"/>
          <w:color w:val="2B2B2B"/>
          <w:sz w:val="22"/>
        </w:rPr>
        <w:t xml:space="preserve">, excluida por fuga (p. 49). Detalle fino y muy útil: la propia p. 78 dice «Del total de 87.500 registros inicialmente </w:t>
      </w:r>
      <w:r>
        <w:rPr>
          <w:rFonts w:ascii="Calibri" w:hAnsi="Calibri"/>
          <w:b/>
          <w:color w:val="2B2B2B"/>
          <w:sz w:val="22"/>
        </w:rPr>
        <w:t>generados</w:t>
      </w:r>
      <w:r>
        <w:rPr>
          <w:rFonts w:ascii="Calibri" w:hAnsi="Calibri"/>
          <w:b w:val="0"/>
          <w:color w:val="2B2B2B"/>
          <w:sz w:val="22"/>
        </w:rPr>
        <w:t>» —el verbo que delata el origen— y la diapositiva los llama «históricos».</w:t>
      </w:r>
    </w:p>
    <w:p>
      <w:pPr>
        <w:pStyle w:val="ListNumber"/>
      </w:pPr>
      <w:r>
        <w:rPr>
          <w:rFonts w:ascii="Calibri" w:hAnsi="Calibri"/>
          <w:b/>
          <w:color w:val="2B2B2B"/>
          <w:sz w:val="22"/>
        </w:rPr>
        <w:t>El ETL en pantalla: dos etiquetas que el documento no usa y seis cifras que no existen.</w:t>
      </w:r>
      <w:r>
        <w:rPr>
          <w:rFonts w:ascii="Calibri" w:hAnsi="Calibri"/>
          <w:b w:val="0"/>
          <w:color w:val="2B2B2B"/>
          <w:sz w:val="22"/>
        </w:rPr>
        <w:t xml:space="preserve"> La diapositiva 9 cierra con «✓ Dataset ML-ready» y la 10 con «ETL exitoso»; buscadas «ML-ready», «ETL exitoso» y «listos para modelado» en las 115 páginas: </w:t>
      </w:r>
      <w:r>
        <w:rPr>
          <w:rFonts w:ascii="Calibri" w:hAnsi="Calibri"/>
          <w:b/>
          <w:color w:val="2B2B2B"/>
          <w:sz w:val="22"/>
        </w:rPr>
        <w:t>cero coincidencias las tres</w:t>
      </w:r>
      <w:r>
        <w:rPr>
          <w:rFonts w:ascii="Calibri" w:hAnsi="Calibri"/>
          <w:b w:val="0"/>
          <w:color w:val="2B2B2B"/>
          <w:sz w:val="22"/>
        </w:rPr>
        <w:t xml:space="preserve">. Lo que sí está es la Tabla 12 (p. 78), que reporta Completitud (variables críticas) 100 %, consistencia temporal 100 %, consistencia ENS 100 % y consistencia SAIDI 100 %: la medición es real, el veredicto es del mazo. Y más grave: la tabla de la diapositiva 9 —«Eliminación de duplicados 400 · Corrección de fechas 400 · Duración inválida 1.000 · Usuarios inconsistentes 500 · ENS inconsistente 400 · Tipo de evento inválido 300»— </w:t>
      </w:r>
      <w:r>
        <w:rPr>
          <w:rFonts w:ascii="Calibri" w:hAnsi="Calibri"/>
          <w:b/>
          <w:color w:val="2B2B2B"/>
          <w:sz w:val="22"/>
        </w:rPr>
        <w:t>no tiene página</w:t>
      </w:r>
      <w:r>
        <w:rPr>
          <w:rFonts w:ascii="Calibri" w:hAnsi="Calibri"/>
          <w:b w:val="0"/>
          <w:color w:val="2B2B2B"/>
          <w:sz w:val="22"/>
        </w:rPr>
        <w:t xml:space="preserve">. Buscadas en las 115 páginas las cadenas «1.000», «400» y «Duración inválida»: cero coincidencias cada una. Lo más parecido es la Tabla 8 (p. 67), una matriz de calidad con </w:t>
      </w:r>
      <w:r>
        <w:rPr>
          <w:rFonts w:ascii="Calibri" w:hAnsi="Calibri"/>
          <w:b/>
          <w:color w:val="2B2B2B"/>
          <w:sz w:val="22"/>
        </w:rPr>
        <w:t>diez</w:t>
      </w:r>
      <w:r>
        <w:rPr>
          <w:rFonts w:ascii="Calibri" w:hAnsi="Calibri"/>
          <w:b w:val="0"/>
          <w:color w:val="2B2B2B"/>
          <w:sz w:val="22"/>
        </w:rPr>
        <w:t xml:space="preserve"> reglas y su acción correctiva pero </w:t>
      </w:r>
      <w:r>
        <w:rPr>
          <w:rFonts w:ascii="Calibri" w:hAnsi="Calibri"/>
          <w:b/>
          <w:color w:val="2B2B2B"/>
          <w:sz w:val="22"/>
        </w:rPr>
        <w:t>sin un solo conteo</w:t>
      </w:r>
      <w:r>
        <w:rPr>
          <w:rFonts w:ascii="Calibri" w:hAnsi="Calibri"/>
          <w:b w:val="0"/>
          <w:color w:val="2B2B2B"/>
          <w:sz w:val="22"/>
        </w:rPr>
        <w:t xml:space="preserve">, y sus categorías no son las seis del mazo (no existen ahí «usuarios inconsistentes», «ENS inconsistente» ni «tipo de evento inválido»). Encima el mazo titula la columna «Registros </w:t>
      </w:r>
      <w:r>
        <w:rPr>
          <w:rFonts w:ascii="Calibri" w:hAnsi="Calibri"/>
          <w:b/>
          <w:color w:val="2B2B2B"/>
          <w:sz w:val="22"/>
        </w:rPr>
        <w:t>corregidos</w:t>
      </w:r>
      <w:r>
        <w:rPr>
          <w:rFonts w:ascii="Calibri" w:hAnsi="Calibri"/>
          <w:b w:val="0"/>
          <w:color w:val="2B2B2B"/>
          <w:sz w:val="22"/>
        </w:rPr>
        <w:t>» cuando la Tabla 8 resuelve los duplicados con «Eliminación», y su propio pie dice 87.500 → 83.900, que son 3.600 y no los 3.000 que suma la tabla. Seis números sin fuente, una etiqueta cambiada y una resta que no cierra, todo en una diapositiva.</w:t>
      </w:r>
    </w:p>
    <w:p>
      <w:pPr>
        <w:pStyle w:val="ListNumber"/>
      </w:pPr>
      <w:r>
        <w:rPr>
          <w:rFonts w:ascii="Calibri" w:hAnsi="Calibri"/>
          <w:b/>
          <w:color w:val="2B2B2B"/>
          <w:sz w:val="22"/>
        </w:rPr>
        <w:t>Las tres fuentes del título son cuatro en la diapositiva 8, y la cuarta es la que manda.</w:t>
      </w:r>
      <w:r>
        <w:rPr>
          <w:rFonts w:ascii="Calibri" w:hAnsi="Calibri"/>
          <w:b w:val="0"/>
          <w:color w:val="2B2B2B"/>
          <w:sz w:val="22"/>
        </w:rPr>
        <w:t xml:space="preserve"> Su capa de FUENTES proyecta «SCADA (API / OPC, cada 1 min) · OMS (Consulta SQL, por evento) · GIS (API Geoespacial) · </w:t>
      </w:r>
      <w:r>
        <w:rPr>
          <w:rFonts w:ascii="Calibri" w:hAnsi="Calibri"/>
          <w:b/>
          <w:color w:val="2B2B2B"/>
          <w:sz w:val="22"/>
        </w:rPr>
        <w:t>CLIMA (API metereologíca diaria)</w:t>
      </w:r>
      <w:r>
        <w:rPr>
          <w:rFonts w:ascii="Calibri" w:hAnsi="Calibri"/>
          <w:b w:val="0"/>
          <w:color w:val="2B2B2B"/>
          <w:sz w:val="22"/>
        </w:rPr>
        <w:t xml:space="preserve">». Es fiel al documento: la p. 57 describe la capa de fuentes con «los sistemas SCADA, OMS y GIS, así como una fuente climática externa… API meteorológica de actualización diaria», así que la cuarta fuente no la inventa el mazo, la trae la arquitectura y el título no la nombra. Lo que la sustentación añade es el remate visual: dos diapositivas después, la 12 pone PRECIP_TOTAL_ULT_4S entre los cinco predictores principales, mientras </w:t>
      </w:r>
      <w:r>
        <w:rPr>
          <w:rFonts w:ascii="Calibri" w:hAnsi="Calibri"/>
          <w:b/>
          <w:color w:val="2B2B2B"/>
          <w:sz w:val="22"/>
        </w:rPr>
        <w:t>ninguna</w:t>
      </w:r>
      <w:r>
        <w:rPr>
          <w:rFonts w:ascii="Calibri" w:hAnsi="Calibri"/>
          <w:b w:val="0"/>
          <w:color w:val="2B2B2B"/>
          <w:sz w:val="22"/>
        </w:rPr>
        <w:t xml:space="preserve"> variable de SCADA aparece en ese ranking. Aquí está la contracara en pantalla de la pregunta prioritaria 1: la diapositiva 8 muestra las fuentes </w:t>
      </w:r>
      <w:r>
        <w:rPr>
          <w:rFonts w:ascii="Calibri" w:hAnsi="Calibri"/>
          <w:b/>
          <w:color w:val="2B2B2B"/>
          <w:sz w:val="22"/>
        </w:rPr>
        <w:t>entrando</w:t>
      </w:r>
      <w:r>
        <w:rPr>
          <w:rFonts w:ascii="Calibri" w:hAnsi="Calibri"/>
          <w:b w:val="0"/>
          <w:color w:val="2B2B2B"/>
          <w:sz w:val="22"/>
        </w:rPr>
        <w:t xml:space="preserve"> y ninguna diapositiva dice cuál sale.</w:t>
      </w:r>
    </w:p>
    <w:p>
      <w:pPr>
        <w:pStyle w:val="ListNumber"/>
      </w:pPr>
      <w:r>
        <w:rPr>
          <w:rFonts w:ascii="Calibri" w:hAnsi="Calibri"/>
          <w:b/>
          <w:color w:val="2B2B2B"/>
          <w:sz w:val="22"/>
        </w:rPr>
        <w:t>La diapositiva 8 entrena GLM y Random Forest; el modelo elegido es un tercero.</w:t>
      </w:r>
      <w:r>
        <w:rPr>
          <w:rFonts w:ascii="Calibri" w:hAnsi="Calibri"/>
          <w:b w:val="0"/>
          <w:color w:val="2B2B2B"/>
          <w:sz w:val="22"/>
        </w:rPr>
        <w:t xml:space="preserve"> Su capa de ANALITICA dice «Entrenamiento (GLM, Random forest)» —sin XGBoost—, y no es un descuido del mazo: el resumen del documento (p. 12) también enumera «modelos como regresión logística y Random Forest» al describir la comparación, aunque XGBoost aparece en 20 páginas y es el seleccionado (pp. 96-108). O sea que el mazo reproduce con fidelidad un resto de versión anterior, y el resto queda proyectado en la diapositiva de arquitectura, tres láminas antes de la que selecciona XGBoost. Es de las pocas incoherencias del mazo que no es del mazo.</w:t>
      </w:r>
    </w:p>
    <w:p>
      <w:pPr>
        <w:pStyle w:val="ListNumber"/>
      </w:pPr>
      <w:r>
        <w:rPr>
          <w:rFonts w:ascii="Calibri" w:hAnsi="Calibri"/>
          <w:b/>
          <w:color w:val="2B2B2B"/>
          <w:sz w:val="22"/>
        </w:rPr>
        <w:t>CRISP-DM está en la sustentación y no en el documento.</w:t>
      </w:r>
      <w:r>
        <w:rPr>
          <w:rFonts w:ascii="Calibri" w:hAnsi="Calibri"/>
          <w:b w:val="0"/>
          <w:color w:val="2B2B2B"/>
          <w:sz w:val="22"/>
        </w:rPr>
        <w:t xml:space="preserve"> La diapositiva 7 declara la metodología «Basada en CRISP-DM adaptada al contexto de analítica de datos para sistemas eléctricos de distribución» y despliega las seis fases numeradas (Comprensión del Negocio, Comprensión de los Datos, Preparación de Datos, Modelamiento, Evaluación, Despliegue), más un párrafo sobre su carácter iterativo. El capítulo de Metodología (pp. 44-55) organiza el trabajo en cinco fases propias y </w:t>
      </w:r>
      <w:r>
        <w:rPr>
          <w:rFonts w:ascii="Calibri" w:hAnsi="Calibri"/>
          <w:b/>
          <w:color w:val="2B2B2B"/>
          <w:sz w:val="22"/>
        </w:rPr>
        <w:t>buscada la cadena «CRISP» en las 115 páginas, cero coincidencias</w:t>
      </w:r>
      <w:r>
        <w:rPr>
          <w:rFonts w:ascii="Calibri" w:hAnsi="Calibri"/>
          <w:b w:val="0"/>
          <w:color w:val="2B2B2B"/>
          <w:sz w:val="22"/>
        </w:rPr>
        <w:t xml:space="preserve">; la diapositiva 15 sí cita a Shearer (2000), la fuente canónica, que tampoco está en la bibliografía del documento. Consecuencia concreta en sala: el relato que va a oír el jurado está estructurado por un marco que el documento no tiene, y la sexta fase de ese marco es </w:t>
      </w:r>
      <w:r>
        <w:rPr>
          <w:rFonts w:ascii="Calibri" w:hAnsi="Calibri"/>
          <w:b/>
          <w:color w:val="2B2B2B"/>
          <w:sz w:val="22"/>
        </w:rPr>
        <w:t>Despliegue</w:t>
      </w:r>
      <w:r>
        <w:rPr>
          <w:rFonts w:ascii="Calibri" w:hAnsi="Calibri"/>
          <w:b w:val="0"/>
          <w:color w:val="2B2B2B"/>
          <w:sz w:val="22"/>
        </w:rPr>
        <w:t>, exactamente lo que el trabajo declara fuera de alcance (pp. 28, 74, 112).</w:t>
      </w:r>
    </w:p>
    <w:p>
      <w:pPr>
        <w:pStyle w:val="ListNumber"/>
      </w:pPr>
      <w:r>
        <w:rPr>
          <w:rFonts w:ascii="Calibri" w:hAnsi="Calibri"/>
          <w:b/>
          <w:color w:val="2B2B2B"/>
          <w:sz w:val="22"/>
        </w:rPr>
        <w:t>La validación cruzada se anuncia dos veces en el mazo y no se reporta ninguna.</w:t>
      </w:r>
      <w:r>
        <w:rPr>
          <w:rFonts w:ascii="Calibri" w:hAnsi="Calibri"/>
          <w:b w:val="0"/>
          <w:color w:val="2B2B2B"/>
          <w:sz w:val="22"/>
        </w:rPr>
        <w:t xml:space="preserve"> «Validación cruzada» aparece en la diapositiva 6 (objetivo específico 2) y otra vez en la 8 (capa de analítica); «k-fold», cero. La 11 reporta únicamente la partición temporal 2019-2024 / 2025. Es el mismo hueco del documento —el «k-fold estratificada por circuito» está solo en la p. 51— con la diferencia de que en pantalla se promete dos veces y el jurado ve las dos. Igual con «ajuste de hiperparámetros», que está en el objetivo de la diapositiva 6 y no tiene ni una tabla detrás.</w:t>
      </w:r>
    </w:p>
    <w:p>
      <w:pPr>
        <w:pStyle w:val="ListNumber"/>
      </w:pPr>
      <w:r>
        <w:rPr>
          <w:rFonts w:ascii="Calibri" w:hAnsi="Calibri"/>
          <w:b/>
          <w:color w:val="2B2B2B"/>
          <w:sz w:val="22"/>
        </w:rPr>
        <w:t>Lo que el mazo decide no proyectar de la Tabla 13 — y las metas que tampoco.</w:t>
      </w:r>
      <w:r>
        <w:rPr>
          <w:rFonts w:ascii="Calibri" w:hAnsi="Calibri"/>
          <w:b w:val="0"/>
          <w:color w:val="2B2B2B"/>
          <w:sz w:val="22"/>
        </w:rPr>
        <w:t xml:space="preserve"> El gráfico de la diapositiva 11 lleva ROC-AUC, Recall, F1-score y Accuracy para los tres modelos, y no lleva PR-AUC. En las 15 diapositivas «PR-AUC» y «0,053»: cero. Con una prevalencia de entre el 1 % y el 5 %, PR-AUC es la métrica que importa y 0,053 es el número que más acota el resultado (p. 97). Tampoco llegan los umbrales de decisión (0,60 / 0,57 / </w:t>
      </w:r>
      <w:r>
        <w:rPr>
          <w:rFonts w:ascii="Calibri" w:hAnsi="Calibri"/>
          <w:b/>
          <w:color w:val="2B2B2B"/>
          <w:sz w:val="22"/>
        </w:rPr>
        <w:t>0,05</w:t>
      </w:r>
      <w:r>
        <w:rPr>
          <w:rFonts w:ascii="Calibri" w:hAnsi="Calibri"/>
          <w:b w:val="0"/>
          <w:color w:val="2B2B2B"/>
          <w:sz w:val="22"/>
        </w:rPr>
        <w:t xml:space="preserve">), que son los que hacen que precision, recall y F1 no sean comparables entre modelos: «umbral» y «0,05», cero. Ni el desbalance: «18 %», «prevalencia» y «desbalance», cero — de modo que nada en pantalla permite a un jurado sospechar el problema de la clase positiva. </w:t>
      </w:r>
      <w:r>
        <w:rPr>
          <w:rFonts w:ascii="Calibri" w:hAnsi="Calibri"/>
          <w:b/>
          <w:color w:val="2B2B2B"/>
          <w:sz w:val="22"/>
        </w:rPr>
        <w:t>Y las metas propias corren la misma suerte:</w:t>
      </w:r>
      <w:r>
        <w:rPr>
          <w:rFonts w:ascii="Calibri" w:hAnsi="Calibri"/>
          <w:b w:val="0"/>
          <w:color w:val="2B2B2B"/>
          <w:sz w:val="22"/>
        </w:rPr>
        <w:t xml:space="preserve"> «0,75» da cero y el único «70%» del mazo es el Train/Test de la diapositiva 7, así que el AUC &gt; 0,75 y el recall ≥ 70 % de la p. 28 no se proyectan en ninguna parte; la diapositiva 14 concluye «Mejor desempeño discriminativo (AUC 0,616)» sin una palabra sobre el umbral que ellos mismos se fijaron. La pregunta prioritaria 2 no tiene, por tanto, respuesta preparada en pantalla: lo que digan de esa distancia será improvisado, y eso es justamente lo que hay que calificar.</w:t>
      </w:r>
    </w:p>
    <w:p>
      <w:pPr>
        <w:pStyle w:val="ListNumber"/>
      </w:pPr>
      <w:r>
        <w:rPr>
          <w:rFonts w:ascii="Calibri" w:hAnsi="Calibri"/>
          <w:b/>
          <w:color w:val="2B2B2B"/>
          <w:sz w:val="22"/>
        </w:rPr>
        <w:t>Ni una diapositiva de alcance, de limitaciones o de cierre de hipótesis.</w:t>
      </w:r>
      <w:r>
        <w:rPr>
          <w:rFonts w:ascii="Calibri" w:hAnsi="Calibri"/>
          <w:b w:val="0"/>
          <w:color w:val="2B2B2B"/>
          <w:sz w:val="22"/>
        </w:rPr>
        <w:t xml:space="preserve"> «Limitac», «alcance», «hipótesis» y «futuro»: cero coincidencias en las 15. Quince diapositivas sin lámina de limitaciones, sin contraste de las tres hipótesis de la p. 23 y sin trabajo futuro, cuando el documento sí tiene alcance (p. 28) y sí enumera lo que queda fuera (pp. 74, 112). Lo más cerca que llega el mazo a un matiz es el subtítulo de la 14, «Síntesis de los resultados obtenidos a partir de la evidencia disponible del proyecto»: «evidencia disponible» es demasiado suave para cargar con lo que tiene que cargar. Que el trabajo sea honesto por escrito y no lo sea en pantalla no es un detalle de diseño: el jurado que no leyó las 115 páginas se lleva otra investigación.</w:t>
      </w:r>
    </w:p>
    <w:p>
      <w:pPr>
        <w:pStyle w:val="ListNumber"/>
      </w:pPr>
      <w:r>
        <w:rPr>
          <w:rFonts w:ascii="Calibri" w:hAnsi="Calibri"/>
          <w:b/>
          <w:color w:val="2B2B2B"/>
          <w:sz w:val="22"/>
        </w:rPr>
        <w:t>Las dos particiones, en dos diapositivas.</w:t>
      </w:r>
      <w:r>
        <w:rPr>
          <w:rFonts w:ascii="Calibri" w:hAnsi="Calibri"/>
          <w:b w:val="0"/>
          <w:color w:val="2B2B2B"/>
          <w:sz w:val="22"/>
        </w:rPr>
        <w:t xml:space="preserve"> La MUESTRA de la diapositiva 7 sigue anunciando «Train/Test 70%-30%» y cuatro láminas después la 11 abre con «Partición temporal: entrenamiento 2019–2024 (6.409.824 registros) · prueba 2025 (1.003.200 registros)», que es 86,5 % / 13,5 %. Sin una palabra de reconciliación entre ambas. La contradicción es del documento (p. 51 y Tabla 11, p. 76, contra p. 96) y el mazo la importa; lo que cambia es que en pantalla las dos cifras están a minutos una de otra y la segunda desmiente a la primera delante del jurado. Detalle menor: el mazo fecha el entrenamiento en 2019-2024 donde la p. 96 dice del 31/12/2018 al 30/12/2024.</w:t>
      </w:r>
    </w:p>
    <w:p>
      <w:pPr>
        <w:pStyle w:val="ListNumber"/>
      </w:pPr>
      <w:r>
        <w:rPr>
          <w:rFonts w:ascii="Calibri" w:hAnsi="Calibri"/>
          <w:b/>
          <w:color w:val="2B2B2B"/>
          <w:sz w:val="22"/>
        </w:rPr>
        <w:t>El mismo activo con dos probabilidades, en diapositivas consecutivas y sin la nota.</w:t>
      </w:r>
      <w:r>
        <w:rPr>
          <w:rFonts w:ascii="Calibri" w:hAnsi="Calibri"/>
          <w:b w:val="0"/>
          <w:color w:val="2B2B2B"/>
          <w:sz w:val="22"/>
        </w:rPr>
        <w:t xml:space="preserve"> La 12 proyecta «Riesgo alto · ACT-012907 · 2025-09-15 · P(falla) = 0,236» y la 13 proyecta «ACT-012907 … </w:t>
      </w:r>
      <w:r>
        <w:rPr>
          <w:rFonts w:ascii="Calibri" w:hAnsi="Calibri"/>
          <w:b/>
          <w:color w:val="2B2B2B"/>
          <w:sz w:val="22"/>
        </w:rPr>
        <w:t>34,5 %</w:t>
      </w:r>
      <w:r>
        <w:rPr>
          <w:rFonts w:ascii="Calibri" w:hAnsi="Calibri"/>
          <w:b w:val="0"/>
          <w:color w:val="2B2B2B"/>
          <w:sz w:val="22"/>
        </w:rPr>
        <w:t xml:space="preserve"> probabilidad de falla (4 sem.)». El documento tiene las dos cifras (0,236 en la Figura 14, p. 102; 0,345 en la p. 72) </w:t>
      </w:r>
      <w:r>
        <w:rPr>
          <w:rFonts w:ascii="Calibri" w:hAnsi="Calibri"/>
          <w:b/>
          <w:color w:val="2B2B2B"/>
          <w:sz w:val="22"/>
        </w:rPr>
        <w:t>y</w:t>
      </w:r>
      <w:r>
        <w:rPr>
          <w:rFonts w:ascii="Calibri" w:hAnsi="Calibri"/>
          <w:b w:val="0"/>
          <w:color w:val="2B2B2B"/>
          <w:sz w:val="22"/>
        </w:rPr>
        <w:t xml:space="preserve"> una nota metodológica que las reconcilia (p. 104): la nota es lo único que no llega al mazo. Crédito por el resto de la 12, que está verificado uno a uno: los otros dos casos locales coinciden exactamente con la p. 103 (ACT-016738 · 2025-12-01 · 0,032 y ACT-006565 · 2025-01-20 · 0,008), el ranking global reproduce el de la p. 100 en el mismo orden, y el cierre —«la explicación representa contribuciones del modelo y no relaciones causales»— es la p. 102 puesta en pantalla.</w:t>
      </w:r>
    </w:p>
    <w:p>
      <w:pPr>
        <w:pStyle w:val="ListNumber"/>
      </w:pPr>
      <w:r>
        <w:rPr>
          <w:rFonts w:ascii="Calibri" w:hAnsi="Calibri"/>
          <w:b/>
          <w:color w:val="2B2B2B"/>
          <w:sz w:val="22"/>
        </w:rPr>
        <w:t>La diapositiva 13 proyecta como producto la especificación de un producto futuro.</w:t>
      </w:r>
      <w:r>
        <w:rPr>
          <w:rFonts w:ascii="Calibri" w:hAnsi="Calibri"/>
          <w:b w:val="0"/>
          <w:color w:val="2B2B2B"/>
          <w:sz w:val="22"/>
        </w:rPr>
        <w:t xml:space="preserve"> Bajo el título «Producto desarrollado» y el rótulo «Prototipo funcional en Streamlit» lista el «Caso de uso extremo a extremo del tablero» en seis pasos, que son, uno por uno, los de la Tabla 10 (p. 73): selección de activo → consulta de variables → cálculo de la probabilidad → factores SHAP → nivel de riesgo → recomendación de prioridad. Pero el documento presenta esa secuencia como «el caso de uso de referencia bajo el cual </w:t>
      </w:r>
      <w:r>
        <w:rPr>
          <w:rFonts w:ascii="Calibri" w:hAnsi="Calibri"/>
          <w:b/>
          <w:color w:val="2B2B2B"/>
          <w:sz w:val="22"/>
        </w:rPr>
        <w:t>debería</w:t>
      </w:r>
      <w:r>
        <w:rPr>
          <w:rFonts w:ascii="Calibri" w:hAnsi="Calibri"/>
          <w:b w:val="0"/>
          <w:color w:val="2B2B2B"/>
          <w:sz w:val="22"/>
        </w:rPr>
        <w:t xml:space="preserve"> operar el tablero» y como «la especificación funcional del producto y el criterio de aceptación bajo el cual </w:t>
      </w:r>
      <w:r>
        <w:rPr>
          <w:rFonts w:ascii="Calibri" w:hAnsi="Calibri"/>
          <w:b/>
          <w:color w:val="2B2B2B"/>
          <w:sz w:val="22"/>
        </w:rPr>
        <w:t>debería validarse cualquier implementación futura</w:t>
      </w:r>
      <w:r>
        <w:rPr>
          <w:rFonts w:ascii="Calibri" w:hAnsi="Calibri"/>
          <w:b w:val="0"/>
          <w:color w:val="2B2B2B"/>
          <w:sz w:val="22"/>
        </w:rPr>
        <w:t xml:space="preserve">». Mismos seis pasos, cambiado el tiempo verbal. En la misma diapositiva, «Tecnologías </w:t>
      </w:r>
      <w:r>
        <w:rPr>
          <w:rFonts w:ascii="Calibri" w:hAnsi="Calibri"/>
          <w:b/>
          <w:color w:val="2B2B2B"/>
          <w:sz w:val="22"/>
        </w:rPr>
        <w:t>utilizadas</w:t>
      </w:r>
      <w:r>
        <w:rPr>
          <w:rFonts w:ascii="Calibri" w:hAnsi="Calibri"/>
          <w:b w:val="0"/>
          <w:color w:val="2B2B2B"/>
          <w:sz w:val="22"/>
        </w:rPr>
        <w:t xml:space="preserve">: Python XGBoost SHAP Streamlit SQL» donde la p. 73 escribe «tecnologías </w:t>
      </w:r>
      <w:r>
        <w:rPr>
          <w:rFonts w:ascii="Calibri" w:hAnsi="Calibri"/>
          <w:b/>
          <w:color w:val="2B2B2B"/>
          <w:sz w:val="22"/>
        </w:rPr>
        <w:t>recomendadas</w:t>
      </w:r>
      <w:r>
        <w:rPr>
          <w:rFonts w:ascii="Calibri" w:hAnsi="Calibri"/>
          <w:b w:val="0"/>
          <w:color w:val="2B2B2B"/>
          <w:sz w:val="22"/>
        </w:rPr>
        <w:t xml:space="preserve"> para una eventual implementación (por ejemplo: Python, scikit-learn, Power BI, Streamlit </w:t>
      </w:r>
      <w:r>
        <w:rPr>
          <w:rFonts w:ascii="Calibri" w:hAnsi="Calibri"/>
          <w:b/>
          <w:color w:val="2B2B2B"/>
          <w:sz w:val="22"/>
        </w:rPr>
        <w:t>o</w:t>
      </w:r>
      <w:r>
        <w:rPr>
          <w:rFonts w:ascii="Calibri" w:hAnsi="Calibri"/>
          <w:b w:val="0"/>
          <w:color w:val="2B2B2B"/>
          <w:sz w:val="22"/>
        </w:rPr>
        <w:t xml:space="preserve"> Dash, Flask, SQL)… documentada como recomendación técnica y no como stack ya implementado»: un menú de alternativas convertido en inventario de lo que se usó. </w:t>
      </w:r>
      <w:r>
        <w:rPr>
          <w:rFonts w:ascii="Calibri" w:hAnsi="Calibri"/>
          <w:b/>
          <w:color w:val="2B2B2B"/>
          <w:sz w:val="22"/>
        </w:rPr>
        <w:t>Y lo que hay que reconocerles de esa misma lámina:</w:t>
      </w:r>
      <w:r>
        <w:rPr>
          <w:rFonts w:ascii="Calibri" w:hAnsi="Calibri"/>
          <w:b w:val="0"/>
          <w:color w:val="2B2B2B"/>
          <w:sz w:val="22"/>
        </w:rPr>
        <w:t xml:space="preserve"> cierra con «Prueba de concepto funcional; no corresponde a una implementación productiva en la infraestructura de CENS» y reporta el «Resultado retrospectivo: </w:t>
      </w:r>
      <w:r>
        <w:rPr>
          <w:rFonts w:ascii="Calibri" w:hAnsi="Calibri"/>
          <w:b/>
          <w:color w:val="2B2B2B"/>
          <w:sz w:val="22"/>
        </w:rPr>
        <w:t>falso positivo</w:t>
      </w:r>
      <w:r>
        <w:rPr>
          <w:rFonts w:ascii="Calibri" w:hAnsi="Calibri"/>
          <w:b w:val="0"/>
          <w:color w:val="2B2B2B"/>
          <w:sz w:val="22"/>
        </w:rPr>
        <w:t>. Confirma que la predicción debe usarse como herramienta de priorización, no como certeza de ocurrencia». Es la honestidad de la p. 72 llevada a la pantalla. El reparo es el tiempo verbal de los seis pasos y la palabra «utilizadas», no el encuadre del prototipo.</w:t>
      </w:r>
    </w:p>
    <w:p>
      <w:pPr>
        <w:pStyle w:val="ListNumber"/>
      </w:pPr>
      <w:r>
        <w:rPr>
          <w:rFonts w:ascii="Calibri" w:hAnsi="Calibri"/>
          <w:b/>
          <w:color w:val="2B2B2B"/>
          <w:sz w:val="22"/>
        </w:rPr>
        <w:t>No hay una sola captura del tablero — tampoco en el mazo. Ni una sola figura del documento.</w:t>
      </w:r>
      <w:r>
        <w:rPr>
          <w:rFonts w:ascii="Calibri" w:hAnsi="Calibri"/>
          <w:b w:val="0"/>
          <w:color w:val="2B2B2B"/>
          <w:sz w:val="22"/>
        </w:rPr>
        <w:t xml:space="preserve"> Verificado a nivel de imágenes incrustadas: las diapositivas 9 a 15 llevan </w:t>
      </w:r>
      <w:r>
        <w:rPr>
          <w:rFonts w:ascii="Calibri" w:hAnsi="Calibri"/>
          <w:b/>
          <w:color w:val="2B2B2B"/>
          <w:sz w:val="22"/>
        </w:rPr>
        <w:t>exactamente una</w:t>
      </w:r>
      <w:r>
        <w:rPr>
          <w:rFonts w:ascii="Calibri" w:hAnsi="Calibri"/>
          <w:b w:val="0"/>
          <w:color w:val="2B2B2B"/>
          <w:sz w:val="22"/>
        </w:rPr>
        <w:t xml:space="preserve"> imagen cada una y es el mismo archivo en las siete (</w:t>
      </w:r>
      <w:r>
        <w:rPr>
          <w:rFonts w:ascii="Consolas" w:hAnsi="Consolas"/>
          <w:color w:val="111111"/>
          <w:sz w:val="21"/>
        </w:rPr>
        <w:t>Image16.jpg</w:t>
      </w:r>
      <w:r>
        <w:rPr>
          <w:rFonts w:ascii="Calibri" w:hAnsi="Calibri"/>
          <w:b w:val="0"/>
          <w:color w:val="2B2B2B"/>
          <w:sz w:val="22"/>
        </w:rPr>
        <w:t xml:space="preserve">, 53.737 bytes: un fondo compartido). Así que la 13 no tiene pantallazo del tablero, igual que las pp. 71-72 no tienen ninguna de las 21 imágenes del PDF. Y va más lejos: </w:t>
      </w:r>
      <w:r>
        <w:rPr>
          <w:rFonts w:ascii="Calibri" w:hAnsi="Calibri"/>
          <w:b/>
          <w:color w:val="2B2B2B"/>
          <w:sz w:val="22"/>
        </w:rPr>
        <w:t>ninguna de las 16 figuras del documento se proyecta</w:t>
      </w:r>
      <w:r>
        <w:rPr>
          <w:rFonts w:ascii="Calibri" w:hAnsi="Calibri"/>
          <w:b w:val="0"/>
          <w:color w:val="2B2B2B"/>
          <w:sz w:val="22"/>
        </w:rPr>
        <w:t>. La comparación de la 11 es un gráfico nativo, el ranking SHAP de la 12 es una lista retecleada, y el resumen SHAP (Figura 13, p. 101), las curvas PR (p. 98) y la curva de calibración (p. 99) no aparecen en ningún lado. El jurado va a oír hablar de interpretabilidad SHAP sin ver un solo gráfico de SHAP.</w:t>
      </w:r>
    </w:p>
    <w:p>
      <w:pPr>
        <w:pStyle w:val="ListNumber"/>
      </w:pPr>
      <w:r>
        <w:rPr>
          <w:rFonts w:ascii="Calibri" w:hAnsi="Calibri"/>
          <w:b/>
          <w:color w:val="2B2B2B"/>
          <w:sz w:val="22"/>
        </w:rPr>
        <w:t>La diapositiva 3 promete predecir el SAIDI y el SAIFI.</w:t>
      </w:r>
      <w:r>
        <w:rPr>
          <w:rFonts w:ascii="Calibri" w:hAnsi="Calibri"/>
          <w:b w:val="0"/>
          <w:color w:val="2B2B2B"/>
          <w:sz w:val="22"/>
        </w:rPr>
        <w:t xml:space="preserve"> Textual: «Este proyecto desarrolla y compara modelos estadísticos y de Machine Learning para predecir fallas </w:t>
      </w:r>
      <w:r>
        <w:rPr>
          <w:rFonts w:ascii="Calibri" w:hAnsi="Calibri"/>
          <w:b/>
          <w:color w:val="2B2B2B"/>
          <w:sz w:val="22"/>
        </w:rPr>
        <w:t>y el comportamiento de los indicadores SAIDI y SAIFI</w:t>
      </w:r>
      <w:r>
        <w:rPr>
          <w:rFonts w:ascii="Calibri" w:hAnsi="Calibri"/>
          <w:b w:val="0"/>
          <w:color w:val="2B2B2B"/>
          <w:sz w:val="22"/>
        </w:rPr>
        <w:t>». Ningún resultado pronostica ninguno de los dos indicadores: en la Tabla 9 (pp. 68-70) SAIDI y SAIFI están marcados «Excluidos como predictores; utilizados como contexto/evaluación», y la salida del modelo es P(falla) por activo-semana. Tampoco lo inventa el mazo —la p. 19 escribe «evaluar modelos… orientados a la predicción de los indicadores SAIDI y SAIFI»—, pero la pregunta (p. 23) y el objetivo general (p. 25) dicen «predicción de fallas», y el mazo pone la promesa ancha en su segunda lámina de contenido, que es donde el jurado se forma la expectativa. Si la repiten en voz alta, la contra es de una línea: qué tabla pronostica un valor de SAIDI.</w:t>
      </w:r>
    </w:p>
    <w:p>
      <w:pPr>
        <w:pStyle w:val="ListNumber"/>
      </w:pPr>
      <w:r>
        <w:rPr>
          <w:rFonts w:ascii="Calibri" w:hAnsi="Calibri"/>
          <w:b/>
          <w:color w:val="2B2B2B"/>
          <w:sz w:val="22"/>
        </w:rPr>
        <w:t>La bibliografía del mazo es mejor que la del documento, y le repara una falta.</w:t>
      </w:r>
      <w:r>
        <w:rPr>
          <w:rFonts w:ascii="Calibri" w:hAnsi="Calibri"/>
          <w:b w:val="0"/>
          <w:color w:val="2B2B2B"/>
          <w:sz w:val="22"/>
        </w:rPr>
        <w:t xml:space="preserve"> La diapositiva 15 lista 16 entradas, todas arbitradas o institucionales, y </w:t>
      </w:r>
      <w:r>
        <w:rPr>
          <w:rFonts w:ascii="Calibri" w:hAnsi="Calibri"/>
          <w:b/>
          <w:color w:val="2B2B2B"/>
          <w:sz w:val="22"/>
        </w:rPr>
        <w:t>ninguna</w:t>
      </w:r>
      <w:r>
        <w:rPr>
          <w:rFonts w:ascii="Calibri" w:hAnsi="Calibri"/>
          <w:b w:val="0"/>
          <w:color w:val="2B2B2B"/>
          <w:sz w:val="22"/>
        </w:rPr>
        <w:t xml:space="preserve"> de las tres fuentes no académicas del documento (Wikipedia, USA Today, PowerOutage.us). Más aún: </w:t>
      </w:r>
      <w:r>
        <w:rPr>
          <w:rFonts w:ascii="Calibri" w:hAnsi="Calibri"/>
          <w:b/>
          <w:color w:val="2B2B2B"/>
          <w:sz w:val="22"/>
        </w:rPr>
        <w:t>Guidotti y otros (2018) se cita en las pp. 22, 27 y 33 del documento y no tiene entrada en su bibliografía (pp. 113-115) — y la diapositiva 15 sí la trae, completa y con DOI.</w:t>
      </w:r>
      <w:r>
        <w:rPr>
          <w:rFonts w:ascii="Calibri" w:hAnsi="Calibri"/>
          <w:b w:val="0"/>
          <w:color w:val="2B2B2B"/>
          <w:sz w:val="22"/>
        </w:rPr>
        <w:t xml:space="preserve"> Tres de sus entradas no están en el documento: Breiman (2001), Molnar (2022) y Shearer (2000), cero coincidencias los tres apellidos en las 115 páginas. Es un hallazgo que juega a su favor y conviene decirlo así en sala, porque la reserva de la bibliografía se puede leer como reproche y aquí el reproche es del documento, no del mazo. Descuido: CREG 015 de 2018 está duplicada en la lista.</w:t>
      </w:r>
    </w:p>
    <w:p>
      <w:pPr>
        <w:pStyle w:val="ListNumber"/>
      </w:pPr>
      <w:r>
        <w:rPr>
          <w:rFonts w:ascii="Calibri" w:hAnsi="Calibri"/>
          <w:b/>
          <w:color w:val="2B2B2B"/>
          <w:sz w:val="22"/>
        </w:rPr>
        <w:t>Lo que está bien y conviene decirlo en sala.</w:t>
      </w:r>
      <w:r>
        <w:rPr>
          <w:rFonts w:ascii="Calibri" w:hAnsi="Calibri"/>
          <w:b w:val="0"/>
          <w:color w:val="2B2B2B"/>
          <w:sz w:val="22"/>
        </w:rPr>
        <w:t xml:space="preserve"> La diapositiva 1 titula «Sustentación final / Transformación Digital», así que el mazo nombra el programa correcto donde la declaración de originalidad del documento dice «Analítica de Datos» (p. 16). La 2 declara los dos perfiles distintos —ingeniero de sistemas e ingeniero electromecánico, con experiencia en calidad del servicio y de la información— y nombra la dirección (PhD. María Fernanda Rivera Sanclemente), consistente con la portada (p. 1), que es el único sitio del documento donde aparece. La 4 diagnostica por qué fallan los modelos predictivos (fragmentación de fuentes, desalineación temporal, ruido, falta de interpretabilidad regulatoria) y remata con la mejor frase de los dos entregables: «En un entorno regulado, no basta con predecir: se necesita justificar cada predicción». Las 5 y 6 reproducen la pregunta (p. 23) y los cuatro objetivos (p. 25) sin desviarse. La 11 dice expresamente que la selección fue multicriterio «no exclusivamente por AUC». Y la conclusión 2 de la 14 elige como aporte propio el correcto: el panel activo-semana.</w:t>
      </w:r>
    </w:p>
    <w:p>
      <w:r>
        <w:rPr>
          <w:rFonts w:ascii="Calibri" w:hAnsi="Calibri"/>
          <w:b/>
          <w:color w:val="2B2B2B"/>
          <w:sz w:val="22"/>
        </w:rPr>
        <w:t>Forma del mazo (no se pregunta en sala):</w:t>
      </w:r>
      <w:r>
        <w:rPr>
          <w:rFonts w:ascii="Calibri" w:hAnsi="Calibri"/>
          <w:b w:val="0"/>
          <w:color w:val="2B2B2B"/>
          <w:sz w:val="22"/>
        </w:rPr>
        <w:t xml:space="preserve"> doble punto final en el objetivo específico 2 (diapositiva 6); «componente interpretative» en inglés (diapositiva 7); «API metereologíca» (diapositiva 8), que el documento escribe bien (p. 57); CREG 015 de 2018 duplicada (diapositiva 15). Las diapositivas 9 y 14, y también la 11, no traen texto extraíble más allá de sus rótulos: lo que se lea de ellas hay que leerlo en pantalla.</w:t>
      </w:r>
    </w:p>
    <w:p>
      <w:pPr>
        <w:spacing w:before="200" w:after="60"/>
      </w:pPr>
      <w:r>
        <w:rPr>
          <w:rFonts w:ascii="Calibri" w:hAnsi="Calibri"/>
          <w:b/>
          <w:color w:val="007433"/>
          <w:sz w:val="32"/>
        </w:rPr>
        <w:t>Qué mirar en pantalla mientras exponen</w:t>
      </w:r>
    </w:p>
    <w:p>
      <w:pPr>
        <w:pStyle w:val="ListBullet"/>
      </w:pPr>
      <w:r>
        <w:rPr>
          <w:rFonts w:ascii="Calibri" w:hAnsi="Calibri"/>
          <w:b/>
          <w:color w:val="2B2B2B"/>
          <w:sz w:val="22"/>
        </w:rPr>
        <w:t>La palabra.</w:t>
      </w:r>
      <w:r>
        <w:rPr>
          <w:rFonts w:ascii="Calibri" w:hAnsi="Calibri"/>
          <w:b w:val="0"/>
          <w:color w:val="2B2B2B"/>
          <w:sz w:val="22"/>
        </w:rPr>
        <w:t xml:space="preserve"> Si en las diapositivas 7, 9 o 10 dicen «históricos», «reales» o «de CENS» sin decir «construido», «simulado» o «sintético», anotarlo con la diapositiva y el minuto: es el disparador de la pregunta prioritaria 1 y del primer condicional de la §7.</w:t>
      </w:r>
    </w:p>
    <w:p>
      <w:pPr>
        <w:pStyle w:val="ListBullet"/>
      </w:pPr>
      <w:r>
        <w:rPr>
          <w:rFonts w:ascii="Calibri" w:hAnsi="Calibri"/>
          <w:b/>
          <w:color w:val="2B2B2B"/>
          <w:sz w:val="22"/>
        </w:rPr>
        <w:t>La diapositiva 9.</w:t>
      </w:r>
      <w:r>
        <w:rPr>
          <w:rFonts w:ascii="Calibri" w:hAnsi="Calibri"/>
          <w:b w:val="0"/>
          <w:color w:val="2B2B2B"/>
          <w:sz w:val="22"/>
        </w:rPr>
        <w:t xml:space="preserve"> Si alguien pregunta o si ellos lo explican, escuchar de dónde salen las seis cifras de la depuración. Cualquier página que nombren se verifica después: en el documento no están.</w:t>
      </w:r>
    </w:p>
    <w:p>
      <w:pPr>
        <w:pStyle w:val="ListBullet"/>
      </w:pPr>
      <w:r>
        <w:rPr>
          <w:rFonts w:ascii="Calibri" w:hAnsi="Calibri"/>
          <w:b/>
          <w:color w:val="2B2B2B"/>
          <w:sz w:val="22"/>
        </w:rPr>
        <w:t>La diapositiva 8.</w:t>
      </w:r>
      <w:r>
        <w:rPr>
          <w:rFonts w:ascii="Calibri" w:hAnsi="Calibri"/>
          <w:b w:val="0"/>
          <w:color w:val="2B2B2B"/>
          <w:sz w:val="22"/>
        </w:rPr>
        <w:t xml:space="preserve"> Contar las fuentes que proyectan. Si dicen «cuatro fuentes», la pregunta 1 se vuelve más fácil de plantear y más difícil de esquivar. Y si el rótulo sigue diciendo «GLM, Random forest», la contra del punto 4 está a la vista.</w:t>
      </w:r>
    </w:p>
    <w:p>
      <w:pPr>
        <w:pStyle w:val="ListBullet"/>
      </w:pPr>
      <w:r>
        <w:rPr>
          <w:rFonts w:ascii="Calibri" w:hAnsi="Calibri"/>
          <w:b/>
          <w:color w:val="2B2B2B"/>
          <w:sz w:val="22"/>
        </w:rPr>
        <w:t>La diapositiva 11.</w:t>
      </w:r>
      <w:r>
        <w:rPr>
          <w:rFonts w:ascii="Calibri" w:hAnsi="Calibri"/>
          <w:b w:val="0"/>
          <w:color w:val="2B2B2B"/>
          <w:sz w:val="22"/>
        </w:rPr>
        <w:t xml:space="preserve"> Mirar si el gráfico trae PR-AUC y si mencionan los umbrales. Si dicen «accuracy del 84 %» sin nombrar la prevalencia, ahí entra la pregunta prioritaria 2.</w:t>
      </w:r>
    </w:p>
    <w:p>
      <w:pPr>
        <w:pStyle w:val="ListBullet"/>
      </w:pPr>
      <w:r>
        <w:rPr>
          <w:rFonts w:ascii="Calibri" w:hAnsi="Calibri"/>
          <w:b/>
          <w:color w:val="2B2B2B"/>
          <w:sz w:val="22"/>
        </w:rPr>
        <w:t>El paso de la 12 a la 13.</w:t>
      </w:r>
      <w:r>
        <w:rPr>
          <w:rFonts w:ascii="Calibri" w:hAnsi="Calibri"/>
          <w:b w:val="0"/>
          <w:color w:val="2B2B2B"/>
          <w:sz w:val="22"/>
        </w:rPr>
        <w:t xml:space="preserve"> Son consecutivas y llevan 0,236 y 34,5 % del mismo activo. Si nadie lo aclara al pasar de una a otra, la pregunta es de una línea y se hace señalando la pantalla.</w:t>
      </w:r>
    </w:p>
    <w:p>
      <w:pPr>
        <w:pStyle w:val="ListBullet"/>
      </w:pPr>
      <w:r>
        <w:rPr>
          <w:rFonts w:ascii="Calibri" w:hAnsi="Calibri"/>
          <w:b/>
          <w:color w:val="2B2B2B"/>
          <w:sz w:val="22"/>
        </w:rPr>
        <w:t>La 13, con reloj.</w:t>
      </w:r>
      <w:r>
        <w:rPr>
          <w:rFonts w:ascii="Calibri" w:hAnsi="Calibri"/>
          <w:b w:val="0"/>
          <w:color w:val="2B2B2B"/>
          <w:sz w:val="22"/>
        </w:rPr>
        <w:t xml:space="preserve"> Si describen el tablero en presente, anotar si en algún momento dicen «prueba de concepto» (está escrito en su propia lámina) y si ofrecen mostrarlo. El pie de esa diapositiva juega a su favor: conviene reconocérselo antes de pedir la evidencia.</w:t>
      </w:r>
    </w:p>
    <w:p>
      <w:pPr>
        <w:pStyle w:val="ListBullet"/>
      </w:pPr>
      <w:r>
        <w:rPr>
          <w:rFonts w:ascii="Calibri" w:hAnsi="Calibri"/>
          <w:b/>
          <w:color w:val="2B2B2B"/>
          <w:sz w:val="22"/>
        </w:rPr>
        <w:t>CRISP-DM.</w:t>
      </w:r>
      <w:r>
        <w:rPr>
          <w:rFonts w:ascii="Calibri" w:hAnsi="Calibri"/>
          <w:b w:val="0"/>
          <w:color w:val="2B2B2B"/>
          <w:sz w:val="22"/>
        </w:rPr>
        <w:t xml:space="preserve"> Si estructuran toda la exposición en las seis fases y llegan a «Despliegue», anotar qué dicen de esa sexta fase: es la que el documento declara fuera de alcance.</w:t>
      </w:r>
    </w:p>
    <w:p>
      <w:pPr>
        <w:pStyle w:val="ListBullet"/>
      </w:pPr>
      <w:r>
        <w:rPr>
          <w:rFonts w:ascii="Calibri" w:hAnsi="Calibri"/>
          <w:b/>
          <w:color w:val="2B2B2B"/>
          <w:sz w:val="22"/>
        </w:rPr>
        <w:t>Quién habla de qué.</w:t>
      </w:r>
      <w:r>
        <w:rPr>
          <w:rFonts w:ascii="Calibri" w:hAnsi="Calibri"/>
          <w:b w:val="0"/>
          <w:color w:val="2B2B2B"/>
          <w:sz w:val="22"/>
        </w:rPr>
        <w:t xml:space="preserve"> La diapositiva 2 declara perfiles distintos; anotar si el electromecánico toma las láminas de dominio (4, 10) y el de sistemas las de modelamiento (11, 12), o si habla uno solo.</w:t>
      </w:r>
    </w:p>
    <w:p>
      <w:pPr>
        <w:spacing w:before="200" w:after="60"/>
      </w:pPr>
      <w:r>
        <w:rPr>
          <w:rFonts w:ascii="Calibri" w:hAnsi="Calibri"/>
          <w:b/>
          <w:color w:val="007433"/>
          <w:sz w:val="32"/>
        </w:rPr>
        <w:t>6.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Pregunta 1 — Qué variable de SCADA entra al modelo</w:t>
      </w:r>
    </w:p>
    <w:p>
      <w:pPr>
        <w:ind w:left="432"/>
        <w:shd w:val="clear" w:fill="E8F5EC"/>
      </w:pPr>
      <w:r>
        <w:rPr>
          <w:rFonts w:ascii="Calibri" w:hAnsi="Calibri"/>
          <w:b w:val="0"/>
          <w:i/>
          <w:color w:val="2B2B2B"/>
          <w:sz w:val="21"/>
        </w:rPr>
        <w:t>«El título y el objetivo general de la página 25 venden la integración SCADA-OMS-GIS. Pero la Tabla 9, página 68, marca las seis variables de SCADA como excluidas por data leakage, y en la Figura 13, página 101, ninguna de las quince variables del resumen SHAP viene de SCADA. Nómbrenme una variable de SCADA que entre al modelo final. Si no entra ninguna, díganlo con esas palabras.»</w:t>
      </w:r>
    </w:p>
    <w:p>
      <w:pPr>
        <w:pStyle w:val="ListBullet"/>
      </w:pPr>
      <w:r>
        <w:rPr>
          <w:rFonts w:ascii="Calibri" w:hAnsi="Calibri"/>
          <w:b/>
          <w:color w:val="2B2B2B"/>
          <w:sz w:val="22"/>
        </w:rPr>
        <w:t>Sale de:</w:t>
      </w:r>
      <w:r>
        <w:rPr>
          <w:rFonts w:ascii="Calibri" w:hAnsi="Calibri"/>
          <w:b w:val="0"/>
          <w:color w:val="2B2B2B"/>
          <w:sz w:val="22"/>
        </w:rPr>
        <w:t xml:space="preserve"> del </w:t>
      </w:r>
      <w:r>
        <w:rPr>
          <w:rFonts w:ascii="Calibri" w:hAnsi="Calibri"/>
          <w:b/>
          <w:color w:val="2B2B2B"/>
          <w:sz w:val="22"/>
        </w:rPr>
        <w:t>documento</w:t>
      </w:r>
      <w:r>
        <w:rPr>
          <w:rFonts w:ascii="Calibri" w:hAnsi="Calibri"/>
          <w:b w:val="0"/>
          <w:color w:val="2B2B2B"/>
          <w:sz w:val="22"/>
        </w:rPr>
        <w:t xml:space="preserve">, que es donde está la prueba: la Tabla 9 (p. 68) rotula «Excluida por data leakage» las seis variables de SCADA, y la Figura 13 (p. 101) no muestra ni una entre los quince predictores. Las </w:t>
      </w:r>
      <w:r>
        <w:rPr>
          <w:rFonts w:ascii="Calibri" w:hAnsi="Calibri"/>
          <w:b/>
          <w:color w:val="2B2B2B"/>
          <w:sz w:val="22"/>
        </w:rPr>
        <w:t>diapositivas</w:t>
      </w:r>
      <w:r>
        <w:rPr>
          <w:rFonts w:ascii="Calibri" w:hAnsi="Calibri"/>
          <w:b w:val="0"/>
          <w:color w:val="2B2B2B"/>
          <w:sz w:val="22"/>
        </w:rPr>
        <w:t xml:space="preserve"> son las que vuelven la pregunta inevitable: la 8 proyecta las fuentes </w:t>
      </w:r>
      <w:r>
        <w:rPr>
          <w:rFonts w:ascii="Calibri" w:hAnsi="Calibri"/>
          <w:b/>
          <w:color w:val="2B2B2B"/>
          <w:sz w:val="22"/>
        </w:rPr>
        <w:t>entrando</w:t>
      </w:r>
      <w:r>
        <w:rPr>
          <w:rFonts w:ascii="Calibri" w:hAnsi="Calibri"/>
          <w:b w:val="0"/>
          <w:color w:val="2B2B2B"/>
          <w:sz w:val="22"/>
        </w:rPr>
        <w:t xml:space="preserve"> —y son cuatro, no tres, porque añade CLIMA (§5, punto 3)—, y dos láminas después la 12 pone PRECIP_TOTAL_ULT_4S entre los cinco predictores principales mientras SCADA no aparece en ninguno. O sea que en pantalla la fuente que no entra al modelo se ve entrando cada minuto, y la que sí manda es la que el título no nombra. Ninguna diapositiva dice cuál sale.</w:t>
      </w:r>
    </w:p>
    <w:p>
      <w:pPr>
        <w:pStyle w:val="ListBullet"/>
      </w:pPr>
      <w:r>
        <w:rPr>
          <w:rFonts w:ascii="Calibri" w:hAnsi="Calibri"/>
          <w:b/>
          <w:color w:val="2B2B2B"/>
          <w:sz w:val="22"/>
        </w:rPr>
        <w:t>Por qué se pregunta:</w:t>
      </w:r>
      <w:r>
        <w:rPr>
          <w:rFonts w:ascii="Calibri" w:hAnsi="Calibri"/>
          <w:b w:val="0"/>
          <w:color w:val="2B2B2B"/>
          <w:sz w:val="22"/>
        </w:rPr>
        <w:t xml:space="preserve"> es la única de las tres que toca el título del trabajo y no un detalle de método, y no la responde ninguna exposición estándar: la diapositiva de arquitectura muestra las tres fuentes </w:t>
      </w:r>
      <w:r>
        <w:rPr>
          <w:rFonts w:ascii="Calibri" w:hAnsi="Calibri"/>
          <w:b/>
          <w:color w:val="2B2B2B"/>
          <w:sz w:val="22"/>
        </w:rPr>
        <w:t>entrando</w:t>
      </w:r>
      <w:r>
        <w:rPr>
          <w:rFonts w:ascii="Calibri" w:hAnsi="Calibri"/>
          <w:b w:val="0"/>
          <w:color w:val="2B2B2B"/>
          <w:sz w:val="22"/>
        </w:rPr>
        <w:t>, no cuáles salen. En la Tabla 9 (p. 68) las seis variables de SCADA —corriente, voltaje, potencia, factor de potencia, frecuencia y alarmas— llevan todas la etiqueta «Excluida por data leakage», y los quince predictores del resumen SHAP (Figura 13, p. 101) son GIS, calendario, clima e historial OMS: MES_SEMANA, EDAD_ACTIVO_SEMANA, TIPO_ACTIVO, MUNICIPIO, PRECIP_TOTAL_ULT_4S, MATERIAL_POSTE, NIVEL_TENSION_ACTIVO, VIENTO_MAX_ULT_4S, ZONA, N_FALLAS_HISTORICO, SEMANAS_DESDE_ULTIMA_FALLA, LONGITUD_LINEA, TEMP_MEDIA_ULT_4S, CAPACIDAD_CIRCUITO y DIAS_TORMENTA_ULT_4S. Encima el documento anuncia dos veces lo contrario que la Tabla 9: la p. 49 promete como «Predictora» las variables «eléctricas de SCADA», y la Tabla 2 (p. 54) lista «Nivel de carga promedio — SCADA» como variable independiente. La pregunta va contra la p. 25, la p. 23 y el título, que venden la integración como resultado.</w:t>
      </w:r>
    </w:p>
    <w:p>
      <w:pPr>
        <w:pStyle w:val="ListBullet"/>
      </w:pPr>
      <w:r>
        <w:rPr>
          <w:rFonts w:ascii="Calibri" w:hAnsi="Calibri"/>
          <w:b/>
          <w:color w:val="2B2B2B"/>
          <w:sz w:val="22"/>
        </w:rPr>
        <w:t>Qué la resuelve:</w:t>
      </w:r>
      <w:r>
        <w:rPr>
          <w:rFonts w:ascii="Calibri" w:hAnsi="Calibri"/>
          <w:b w:val="0"/>
          <w:color w:val="2B2B2B"/>
          <w:sz w:val="22"/>
        </w:rPr>
        <w:t xml:space="preserve"> que digan sin rodeos que </w:t>
      </w:r>
      <w:r>
        <w:rPr>
          <w:rFonts w:ascii="Calibri" w:hAnsi="Calibri"/>
          <w:b/>
          <w:color w:val="2B2B2B"/>
          <w:sz w:val="22"/>
        </w:rPr>
        <w:t>ninguna</w:t>
      </w:r>
      <w:r>
        <w:rPr>
          <w:rFonts w:ascii="Calibri" w:hAnsi="Calibri"/>
          <w:b w:val="0"/>
          <w:color w:val="2B2B2B"/>
          <w:sz w:val="22"/>
        </w:rPr>
        <w:t xml:space="preserve"> variable SCADA entra al modelo final; que expliquen que la exclusión fue una decisión propia y </w:t>
      </w:r>
      <w:r>
        <w:rPr>
          <w:rFonts w:ascii="Calibri" w:hAnsi="Calibri"/>
          <w:b/>
          <w:color w:val="2B2B2B"/>
          <w:sz w:val="22"/>
        </w:rPr>
        <w:t>correcta</w:t>
      </w:r>
      <w:r>
        <w:rPr>
          <w:rFonts w:ascii="Calibri" w:hAnsi="Calibri"/>
          <w:b w:val="0"/>
          <w:color w:val="2B2B2B"/>
          <w:sz w:val="22"/>
        </w:rPr>
        <w:t xml:space="preserve"> (son mediciones del evento o posteriores a él, de ahí el rótulo de la Tabla 9); que sitúen el aporte real de SCADA en el ETL, en la arquitectura de cuatro capas (pp. 56-58) y en el diseño de la ventana previa al evento; y que reconozcan que la p. 49 y la Tabla 2 quedaron desactualizadas frente a la Tabla 9 y que el alcance del título debe matizarse. Suma si proponen la vía correcta como trabajo futuro: agregados de SCADA </w:t>
      </w:r>
      <w:r>
        <w:rPr>
          <w:rFonts w:ascii="Calibri" w:hAnsi="Calibri"/>
          <w:b/>
          <w:color w:val="2B2B2B"/>
          <w:sz w:val="22"/>
        </w:rPr>
        <w:t>anteriores</w:t>
      </w:r>
      <w:r>
        <w:rPr>
          <w:rFonts w:ascii="Calibri" w:hAnsi="Calibri"/>
          <w:b w:val="0"/>
          <w:color w:val="2B2B2B"/>
          <w:sz w:val="22"/>
        </w:rPr>
        <w:t xml:space="preserve"> a la ventana (alarmas por semana, desviaciones de voltaje de semanas previas).</w:t>
      </w:r>
    </w:p>
    <w:p>
      <w:pPr>
        <w:pStyle w:val="ListBullet"/>
      </w:pPr>
      <w:r>
        <w:rPr>
          <w:rFonts w:ascii="Calibri" w:hAnsi="Calibri"/>
          <w:b/>
          <w:color w:val="2B2B2B"/>
          <w:sz w:val="22"/>
        </w:rPr>
        <w:t>Qué la agrava:</w:t>
      </w:r>
      <w:r>
        <w:rPr>
          <w:rFonts w:ascii="Calibri" w:hAnsi="Calibri"/>
          <w:b w:val="0"/>
          <w:color w:val="2B2B2B"/>
          <w:sz w:val="22"/>
        </w:rPr>
        <w:t xml:space="preserve"> sostener que SCADA sí está en el modelo sin poder nombrar una variable; atribuir a SCADA predictores que son de OMS o GIS (N_FALLAS_HISTORICO, SEMANAS_DESDE_ULTIMA_FALLA, NIVEL_TENSION_ACTIVO); explicar la ausencia por el carácter construido del conjunto cuando la exclusión es una decisión suya documentada como fuga; o decir que fue «un tema de tiempo» y aun así mantener la integración SCADA en el título, en la pregunta y en las conclusiones. Si nombran una de las cinco variables que la Figura 13 no muestra (el modelo usó 20, p. 100), la contra es inmediata: en qué página está documentada.</w:t>
      </w:r>
    </w:p>
    <w:p>
      <w:r>
        <w:rPr>
          <w:rFonts w:ascii="Calibri" w:hAnsi="Calibri"/>
          <w:b/>
          <w:color w:val="2B2B2B"/>
          <w:sz w:val="22"/>
        </w:rPr>
        <w:t>Pregunta 2 — La prevalencia real del panel</w:t>
      </w:r>
    </w:p>
    <w:p>
      <w:pPr>
        <w:ind w:left="432"/>
        <w:shd w:val="clear" w:fill="E8F5EC"/>
      </w:pPr>
      <w:r>
        <w:rPr>
          <w:rFonts w:ascii="Calibri" w:hAnsi="Calibri"/>
          <w:b w:val="0"/>
          <w:i/>
          <w:color w:val="2B2B2B"/>
          <w:sz w:val="21"/>
        </w:rPr>
        <w:t>«Las páginas 49 y 51 fijan la clase positiva del panel en aproximadamente el 18 %. Pero las dos particiones de la página 96 suman 7.413.024 filas y los positivos son a lo sumo los 83.900 eventos de la página 47: eso da 1,13 %. Denme una sola cifra: ¿qué porcentaje de filas positivas tenía el panel con que entrenaron? Si el 18 % fue un supuesto de diseño y no una medición, díganlo así.»</w:t>
      </w:r>
    </w:p>
    <w:p>
      <w:pPr>
        <w:pStyle w:val="ListBullet"/>
      </w:pPr>
      <w:r>
        <w:rPr>
          <w:rFonts w:ascii="Calibri" w:hAnsi="Calibri"/>
          <w:b/>
          <w:color w:val="2B2B2B"/>
          <w:sz w:val="22"/>
        </w:rPr>
        <w:t>Sale de:</w:t>
      </w:r>
      <w:r>
        <w:rPr>
          <w:rFonts w:ascii="Calibri" w:hAnsi="Calibri"/>
          <w:b w:val="0"/>
          <w:color w:val="2B2B2B"/>
          <w:sz w:val="22"/>
        </w:rPr>
        <w:t xml:space="preserve"> solo del </w:t>
      </w:r>
      <w:r>
        <w:rPr>
          <w:rFonts w:ascii="Calibri" w:hAnsi="Calibri"/>
          <w:b/>
          <w:color w:val="2B2B2B"/>
          <w:sz w:val="22"/>
        </w:rPr>
        <w:t>documento</w:t>
      </w:r>
      <w:r>
        <w:rPr>
          <w:rFonts w:ascii="Calibri" w:hAnsi="Calibri"/>
          <w:b w:val="0"/>
          <w:color w:val="2B2B2B"/>
          <w:sz w:val="22"/>
        </w:rPr>
        <w:t xml:space="preserve"> —las pp. 49 y 51 contra los conteos de las pp. 47 y 96—, y de las </w:t>
      </w:r>
      <w:r>
        <w:rPr>
          <w:rFonts w:ascii="Calibri" w:hAnsi="Calibri"/>
          <w:b/>
          <w:color w:val="2B2B2B"/>
          <w:sz w:val="22"/>
        </w:rPr>
        <w:t>diapositivas</w:t>
      </w:r>
      <w:r>
        <w:rPr>
          <w:rFonts w:ascii="Calibri" w:hAnsi="Calibri"/>
          <w:b w:val="0"/>
          <w:color w:val="2B2B2B"/>
          <w:sz w:val="22"/>
        </w:rPr>
        <w:t xml:space="preserve"> sale su ausencia, que es la mitad del filo: en las 15 no aparecen «18 %», «prevalencia», «desbalance», «umbral», «0,05», «PR-AUC» ni «0,053» (§5, punto 7). El gráfico de la diapositiva 11 lleva ROC-AUC, recall, F1 y accuracy, y deja fuera precisamente la métrica que la prevalencia gobierna. Consecuencia práctica: nada de lo que proyecten les va a servir de apoyo para contestar esto, así que la respuesta será la que sepan de memoria — que es justo lo que quiero medir.</w:t>
      </w:r>
    </w:p>
    <w:p>
      <w:pPr>
        <w:pStyle w:val="ListBullet"/>
      </w:pPr>
      <w:r>
        <w:rPr>
          <w:rFonts w:ascii="Calibri" w:hAnsi="Calibri"/>
          <w:b/>
          <w:color w:val="2B2B2B"/>
          <w:sz w:val="22"/>
        </w:rPr>
        <w:t>Por qué se pregunta:</w:t>
      </w:r>
      <w:r>
        <w:rPr>
          <w:rFonts w:ascii="Calibri" w:hAnsi="Calibri"/>
          <w:b w:val="0"/>
          <w:color w:val="2B2B2B"/>
          <w:sz w:val="22"/>
        </w:rPr>
        <w:t xml:space="preserve"> la prevalencia gobierna la ponderación de clases, el umbral (0,05 para XGBoost, p. 97) y la lectura de PR-AUC, precision y recall. Hay cuatro cifras incompatibles: 18 % (pp. 49 y 51, así que no es un desliz de una página), 1,13 % (83.900 / 7.413.024, con p. 96 y p. 47), el ~5 % al que apunta un PR-AUC de 0,053 (Tabla 13, p. 97) y el ≈3,5 % que sale de la propia Figura 10 (p. 97: accuracy ≈0,84, especificidad ≈0,86 y recall ≈0,25 para XGBoost). Al menos tres son falsas y todas las métricas dependientes de umbral quedan sin piso. Es la que mejor discrimina dominio técnico real y la única que pide un artefacto: un número, no un relato. </w:t>
      </w:r>
      <w:r>
        <w:rPr>
          <w:rFonts w:ascii="Calibri" w:hAnsi="Calibri"/>
          <w:b/>
          <w:color w:val="2B2B2B"/>
          <w:sz w:val="22"/>
        </w:rPr>
        <w:t>El PR-AUC y la Figura 10 no se leen en la pregunta: se guardan para la contra, porque son inferencias mías y no citas.</w:t>
      </w:r>
    </w:p>
    <w:p>
      <w:pPr>
        <w:pStyle w:val="ListBullet"/>
      </w:pPr>
      <w:r>
        <w:rPr>
          <w:rFonts w:ascii="Calibri" w:hAnsi="Calibri"/>
          <w:b/>
          <w:color w:val="2B2B2B"/>
          <w:sz w:val="22"/>
        </w:rPr>
        <w:t>Qué la resuelve:</w:t>
      </w:r>
      <w:r>
        <w:rPr>
          <w:rFonts w:ascii="Calibri" w:hAnsi="Calibri"/>
          <w:b w:val="0"/>
          <w:color w:val="2B2B2B"/>
          <w:sz w:val="22"/>
        </w:rPr>
        <w:t xml:space="preserve"> que den la prevalencia medida del panel activo-semana y hagan la aritmética delante del jurado: base ≈1,1 % (83.900 sobre 7.413.024), o ≈4,5 % si la etiqueta marca la ventana futura de cuatro semanas (83.900 × 4), que es lo que reconcilia el ~5 % del PR-AUC y el ≈3,5 % de la Figura 10. Y que reconozcan que el 18 % de las pp. 49 y 51 era un supuesto de diseño a nivel de </w:t>
      </w:r>
      <w:r>
        <w:rPr>
          <w:rFonts w:ascii="Calibri" w:hAnsi="Calibri"/>
          <w:b/>
          <w:color w:val="2B2B2B"/>
          <w:sz w:val="22"/>
        </w:rPr>
        <w:t>evento</w:t>
      </w:r>
      <w:r>
        <w:rPr>
          <w:rFonts w:ascii="Calibri" w:hAnsi="Calibri"/>
          <w:b w:val="0"/>
          <w:color w:val="2B2B2B"/>
          <w:sz w:val="22"/>
        </w:rPr>
        <w:t>, no una medición del panel, comprometiéndose a corregirlo. Cierra bien la respuesta explicar por qué el umbral de XGBoost bajó a 0,05 mientras los otros dos quedaron en 0,60 y 0,57.</w:t>
      </w:r>
    </w:p>
    <w:p>
      <w:pPr>
        <w:pStyle w:val="ListBullet"/>
      </w:pPr>
      <w:r>
        <w:rPr>
          <w:rFonts w:ascii="Calibri" w:hAnsi="Calibri"/>
          <w:b/>
          <w:color w:val="2B2B2B"/>
          <w:sz w:val="22"/>
        </w:rPr>
        <w:t>Qué la agrava:</w:t>
      </w:r>
      <w:r>
        <w:rPr>
          <w:rFonts w:ascii="Calibri" w:hAnsi="Calibri"/>
          <w:b w:val="0"/>
          <w:color w:val="2B2B2B"/>
          <w:sz w:val="22"/>
        </w:rPr>
        <w:t xml:space="preserve"> defender el 18 % como medido sobre el panel; no distinguir la unidad </w:t>
      </w:r>
      <w:r>
        <w:rPr>
          <w:rFonts w:ascii="Calibri" w:hAnsi="Calibri"/>
          <w:b/>
          <w:color w:val="2B2B2B"/>
          <w:sz w:val="22"/>
        </w:rPr>
        <w:t>evento</w:t>
      </w:r>
      <w:r>
        <w:rPr>
          <w:rFonts w:ascii="Calibri" w:hAnsi="Calibri"/>
          <w:b w:val="0"/>
          <w:color w:val="2B2B2B"/>
          <w:sz w:val="22"/>
        </w:rPr>
        <w:t xml:space="preserve"> de la unidad </w:t>
      </w:r>
      <w:r>
        <w:rPr>
          <w:rFonts w:ascii="Calibri" w:hAnsi="Calibri"/>
          <w:b/>
          <w:color w:val="2B2B2B"/>
          <w:sz w:val="22"/>
        </w:rPr>
        <w:t>activo-semana</w:t>
      </w:r>
      <w:r>
        <w:rPr>
          <w:rFonts w:ascii="Calibri" w:hAnsi="Calibri"/>
          <w:b w:val="0"/>
          <w:color w:val="2B2B2B"/>
          <w:sz w:val="22"/>
        </w:rPr>
        <w:t>; decir que un PR-AUC de 0,05 es bueno o que es comparable con el ROC-AUC de 0,616; achacar la cifra al generador del conjunto sin hacer la división; o admitir que nunca contaron los positivos del panel con que entrenaron.</w:t>
      </w:r>
    </w:p>
    <w:p>
      <w:r>
        <w:rPr>
          <w:rFonts w:ascii="Calibri" w:hAnsi="Calibri"/>
          <w:b/>
          <w:color w:val="2B2B2B"/>
          <w:sz w:val="22"/>
        </w:rPr>
        <w:t>Pregunta 3 — El juicio de expertos de CENS</w:t>
      </w:r>
    </w:p>
    <w:p>
      <w:pPr>
        <w:ind w:left="432"/>
        <w:shd w:val="clear" w:fill="E8F5EC"/>
      </w:pPr>
      <w:r>
        <w:rPr>
          <w:rFonts w:ascii="Calibri" w:hAnsi="Calibri"/>
          <w:b w:val="0"/>
          <w:i/>
          <w:color w:val="2B2B2B"/>
          <w:sz w:val="21"/>
        </w:rPr>
        <w:t>«La página 66 afirma que los instrumentos fueron sometidos a un proceso de validación técnica interna mediante revisión por juicio de expertos de las áreas de Operación del Sistema, Gestión de Activos y Analítica de Datos de CENS. La página 12 dice que no fue posible acceder a los sistemas productivos de CENS. Díganme cuántos expertos fueron y en qué fecha. Si fue una conversación informal y sin acta, díganlo con esas palabras.»</w:t>
      </w:r>
    </w:p>
    <w:p>
      <w:pPr>
        <w:pStyle w:val="ListBullet"/>
      </w:pPr>
      <w:r>
        <w:rPr>
          <w:rFonts w:ascii="Calibri" w:hAnsi="Calibri"/>
          <w:b/>
          <w:color w:val="2B2B2B"/>
          <w:sz w:val="22"/>
        </w:rPr>
        <w:t>Sale de:</w:t>
      </w:r>
      <w:r>
        <w:rPr>
          <w:rFonts w:ascii="Calibri" w:hAnsi="Calibri"/>
          <w:b w:val="0"/>
          <w:color w:val="2B2B2B"/>
          <w:sz w:val="22"/>
        </w:rPr>
        <w:t xml:space="preserve"> enteramente del </w:t>
      </w:r>
      <w:r>
        <w:rPr>
          <w:rFonts w:ascii="Calibri" w:hAnsi="Calibri"/>
          <w:b/>
          <w:color w:val="2B2B2B"/>
          <w:sz w:val="22"/>
        </w:rPr>
        <w:t>documento</w:t>
      </w:r>
      <w:r>
        <w:rPr>
          <w:rFonts w:ascii="Calibri" w:hAnsi="Calibri"/>
          <w:b w:val="0"/>
          <w:color w:val="2B2B2B"/>
          <w:sz w:val="22"/>
        </w:rPr>
        <w:t xml:space="preserve">: la p. 66 contra la p. 12 y contra la p. 75. En las </w:t>
      </w:r>
      <w:r>
        <w:rPr>
          <w:rFonts w:ascii="Calibri" w:hAnsi="Calibri"/>
          <w:b/>
          <w:color w:val="2B2B2B"/>
          <w:sz w:val="22"/>
        </w:rPr>
        <w:t>diapositivas</w:t>
      </w:r>
      <w:r>
        <w:rPr>
          <w:rFonts w:ascii="Calibri" w:hAnsi="Calibri"/>
          <w:b w:val="0"/>
          <w:color w:val="2B2B2B"/>
          <w:sz w:val="22"/>
        </w:rPr>
        <w:t xml:space="preserve"> «experto» da cero coincidencias, y eso importa por dos razones opuestas. A favor: el mazo no repite la afirmación, así que no hay que ir a buscarla en pantalla ni convertirla en un pillado. En contra: si en sala dicen «lo validamos con gente de CENS» —y es lo más probable, porque es la frase que se dice—, esa afirmación no estará respaldada por nada de lo proyectado, solo por un párrafo del documento que la p. 75 desmiente. La pregunta es la misma en los dos escenarios; lo que cambia es el tono con que se abre.</w:t>
      </w:r>
    </w:p>
    <w:p>
      <w:pPr>
        <w:pStyle w:val="ListBullet"/>
      </w:pPr>
      <w:r>
        <w:rPr>
          <w:rFonts w:ascii="Calibri" w:hAnsi="Calibri"/>
          <w:b/>
          <w:color w:val="2B2B2B"/>
          <w:sz w:val="22"/>
        </w:rPr>
        <w:t>Por qué se pregunta:</w:t>
      </w:r>
      <w:r>
        <w:rPr>
          <w:rFonts w:ascii="Calibri" w:hAnsi="Calibri"/>
          <w:b w:val="0"/>
          <w:color w:val="2B2B2B"/>
          <w:sz w:val="22"/>
        </w:rPr>
        <w:t xml:space="preserve"> es una afirmación de validación institucional en pasado, sin un solo dato de respaldo —ni número, ni cargo, ni fecha, ni instrumento, ni acta— dentro de un trabajo que declara no haber tenido acceso a CENS (p. 12) y que en la p. 75 pone esa </w:t>
      </w:r>
      <w:r>
        <w:rPr>
          <w:rFonts w:ascii="Calibri" w:hAnsi="Calibri"/>
          <w:b/>
          <w:color w:val="2B2B2B"/>
          <w:sz w:val="22"/>
        </w:rPr>
        <w:t>misma</w:t>
      </w:r>
      <w:r>
        <w:rPr>
          <w:rFonts w:ascii="Calibri" w:hAnsi="Calibri"/>
          <w:b w:val="0"/>
          <w:color w:val="2B2B2B"/>
          <w:sz w:val="22"/>
        </w:rPr>
        <w:t xml:space="preserve"> validación, con usuarios técnicos de esas </w:t>
      </w:r>
      <w:r>
        <w:rPr>
          <w:rFonts w:ascii="Calibri" w:hAnsi="Calibri"/>
          <w:b/>
          <w:color w:val="2B2B2B"/>
          <w:sz w:val="22"/>
        </w:rPr>
        <w:t>mismas</w:t>
      </w:r>
      <w:r>
        <w:rPr>
          <w:rFonts w:ascii="Calibri" w:hAnsi="Calibri"/>
          <w:b w:val="0"/>
          <w:color w:val="2B2B2B"/>
          <w:sz w:val="22"/>
        </w:rPr>
        <w:t xml:space="preserve"> áreas, como tarea futura. La p. 65 añade una «consulta complementaria al repositorio geográfico corporativo» y la p. 66 una «prueba piloto de integración» sobre registros históricos. Toca veracidad y rigor ético, no coherencia editorial, y no la responde el guion de la sustentación, que no entra al capítulo de instrumentos. Es además la pregunta correcta si en sala dicen «lo validamos con gente de CENS»: tienen respaldo textual en la p. 66, así que hay que ir por quiénes, cuántos y con qué instrumento, no por si el documento lo dice.</w:t>
      </w:r>
    </w:p>
    <w:p>
      <w:pPr>
        <w:pStyle w:val="ListBullet"/>
      </w:pPr>
      <w:r>
        <w:rPr>
          <w:rFonts w:ascii="Calibri" w:hAnsi="Calibri"/>
          <w:b/>
          <w:color w:val="2B2B2B"/>
          <w:sz w:val="22"/>
        </w:rPr>
        <w:t>Qué la resuelve:</w:t>
      </w:r>
      <w:r>
        <w:rPr>
          <w:rFonts w:ascii="Calibri" w:hAnsi="Calibri"/>
          <w:b w:val="0"/>
          <w:color w:val="2B2B2B"/>
          <w:sz w:val="22"/>
        </w:rPr>
        <w:t xml:space="preserve"> que aporten el artefacto —número de expertos, área y cargo, fecha, y el formato, acta o correo de solicitud—; o que declaren con claridad que no hubo validación formal, que fue una consulta informal o una revisión entre pares académicos, y que el párrafo de la p. 66 es un remanente de versión anterior que corregirán para alinearlo con la p. 12 y la p. 75. </w:t>
      </w:r>
      <w:r>
        <w:rPr>
          <w:rFonts w:ascii="Calibri" w:hAnsi="Calibri"/>
          <w:b/>
          <w:color w:val="2B2B2B"/>
          <w:sz w:val="22"/>
        </w:rPr>
        <w:t>La salida honesta es plenamente aceptable y no penaliza el resto del trabajo.</w:t>
      </w:r>
    </w:p>
    <w:p>
      <w:pPr>
        <w:pStyle w:val="ListBullet"/>
      </w:pPr>
      <w:r>
        <w:rPr>
          <w:rFonts w:ascii="Calibri" w:hAnsi="Calibri"/>
          <w:b/>
          <w:color w:val="2B2B2B"/>
          <w:sz w:val="22"/>
        </w:rPr>
        <w:t>Qué la agrava:</w:t>
      </w:r>
      <w:r>
        <w:rPr>
          <w:rFonts w:ascii="Calibri" w:hAnsi="Calibri"/>
          <w:b w:val="0"/>
          <w:color w:val="2B2B2B"/>
          <w:sz w:val="22"/>
        </w:rPr>
        <w:t xml:space="preserve"> sostener que hubo validación con CENS y a la vez mantener que no hubo acceso; ofrecer nombres sin instrumento ni fecha; escudarse en confidencialidad sin poder dar siquiera cargos, mes o tipo de documento; extender la afirmación a los datos («son corporativos», pp. 45 y 52) contradiciendo las pp. 12, 14 y 112; o afirmar que la prueba piloto de integración y la consulta al repositorio geográfico corporativo (p. 65) se hicieron sobre sistemas reales de CENS.</w:t>
      </w:r>
    </w:p>
    <w:p>
      <w:pPr>
        <w:spacing w:before="200" w:after="60"/>
      </w:pPr>
      <w:r>
        <w:rPr>
          <w:rFonts w:ascii="Calibri" w:hAnsi="Calibri"/>
          <w:b/>
          <w:color w:val="007433"/>
          <w:sz w:val="32"/>
        </w:rPr>
        <w:t>Lo que se leyó en la sala el 18/08 — para cotejar con la hoja escrita a mano</w:t>
      </w:r>
    </w:p>
    <w:p>
      <w:pPr>
        <w:pStyle w:val="ListNumber"/>
      </w:pPr>
      <w:r>
        <w:rPr>
          <w:rFonts w:ascii="Calibri" w:hAnsi="Calibri"/>
          <w:b w:val="0"/>
          <w:color w:val="2B2B2B"/>
          <w:sz w:val="22"/>
        </w:rPr>
        <w:t>«El documento dice con claridad que no hubo acceso a los sistemas productivos de CENS y que todo el análisis se hizo sobre un conjunto sintético —lo dicen en la página 14 y lo repiten en la 112—, pero en las diapositivas 7 y 10 la población aparece como 87.500 eventos históricos y 600.000 usuarios de CENS sin ese matiz: cuéntenme cómo generaron ese conjunto y qué de lo que concluyen sigue en pie sabiendo que los patrones que el modelo aprendió los pusieron ustedes al generar los datos.»</w:t>
      </w:r>
    </w:p>
    <w:p>
      <w:pPr>
        <w:pStyle w:val="ListNumber"/>
      </w:pPr>
      <w:r>
        <w:rPr>
          <w:rFonts w:ascii="Calibri" w:hAnsi="Calibri"/>
          <w:b w:val="0"/>
          <w:color w:val="2B2B2B"/>
          <w:sz w:val="22"/>
        </w:rPr>
        <w:t>«Ustedes fijaron como resultados esperados un AUC superior a 0,75 y un recall mínimo del 70 % —página 28—, y lo que obtuvieron fue un AUC de 0,616 con XGBoost y un recall máximo de 0,297 con Random Forest: ¿por qué esa comparación no aparece en las conclusiones y qué lectura técnica hacen de esa distancia?»</w:t>
      </w:r>
    </w:p>
    <w:p>
      <w:pPr>
        <w:pStyle w:val="ListNumber"/>
      </w:pPr>
      <w:r>
        <w:rPr>
          <w:rFonts w:ascii="Calibri" w:hAnsi="Calibri"/>
          <w:b w:val="0"/>
          <w:color w:val="2B2B2B"/>
          <w:sz w:val="22"/>
        </w:rPr>
        <w:t>«En la página 71 y en la diapositiva 13 hablan de un prototipo funcional en Streamlit que integra el modelo y SHAP, pero entre las dieciséis figuras del documento no hay ni una captura del tablero: ¿está corriendo hoy, y pueden describirme qué se ve en pantalla cuando se consulta el activo ACT-012907?»</w:t>
      </w:r>
    </w:p>
    <w:p>
      <w:pPr>
        <w:spacing w:before="200" w:after="60"/>
      </w:pPr>
      <w:r>
        <w:rPr>
          <w:rFonts w:ascii="Calibri" w:hAnsi="Calibri"/>
          <w:b/>
          <w:color w:val="007433"/>
          <w:sz w:val="32"/>
        </w:rPr>
        <w:t>Banco de reserva (por si sobra tiempo o si contestan rápido)</w:t>
      </w:r>
    </w:p>
    <w:p>
      <w:r>
        <w:rPr>
          <w:rFonts w:ascii="Calibri" w:hAnsi="Calibri"/>
          <w:b w:val="0"/>
          <w:color w:val="2B2B2B"/>
          <w:sz w:val="22"/>
        </w:rPr>
        <w:t>Los títulos no se cambian: la §7 llama a estas reservas por su nombre («la reserva del tablero», «la reserva de las 20 variables»). Lo que cambia es el orden: primero las que se sostienen con una página del documento, después las que se sostienen con una diapositiva. Si la exposición se cae por el lado del mazo, se dispara del segundo grupo; si se cae por el lado del método, del primero.</w:t>
      </w:r>
    </w:p>
    <w:p>
      <w:pPr>
        <w:spacing w:before="140" w:after="60"/>
      </w:pPr>
      <w:r>
        <w:rPr>
          <w:rFonts w:ascii="Calibri" w:hAnsi="Calibri"/>
          <w:b/>
          <w:color w:val="0C2340"/>
          <w:sz w:val="27"/>
        </w:rPr>
        <w:t>Del documento</w:t>
      </w:r>
    </w:p>
    <w:p>
      <w:pPr>
        <w:pStyle w:val="ListBullet"/>
      </w:pPr>
      <w:r>
        <w:rPr>
          <w:rFonts w:ascii="Calibri" w:hAnsi="Calibri"/>
          <w:b/>
          <w:color w:val="2B2B2B"/>
          <w:sz w:val="22"/>
        </w:rPr>
        <w:t>Las 20 variables.</w:t>
      </w:r>
      <w:r>
        <w:rPr>
          <w:rFonts w:ascii="Calibri" w:hAnsi="Calibri"/>
          <w:b w:val="0"/>
          <w:color w:val="2B2B2B"/>
          <w:sz w:val="22"/>
        </w:rPr>
        <w:t xml:space="preserve"> «La página 100 dice que el XGBoost final usó 20 variables predictoras; el diccionario de datos, Tabla 9, documenta 7, y la Figura 13 muestra 15. Enumérenme las 20, o díganme en qué página están documentadas.» (pp. 68-70, 76, 100 y 101)</w:t>
      </w:r>
    </w:p>
    <w:p>
      <w:pPr>
        <w:pStyle w:val="ListBullet"/>
      </w:pPr>
      <w:r>
        <w:rPr>
          <w:rFonts w:ascii="Calibri" w:hAnsi="Calibri"/>
          <w:b/>
          <w:color w:val="2B2B2B"/>
          <w:sz w:val="22"/>
        </w:rPr>
        <w:t>El calendario como señal dominante.</w:t>
      </w:r>
      <w:r>
        <w:rPr>
          <w:rFonts w:ascii="Calibri" w:hAnsi="Calibri"/>
          <w:b w:val="0"/>
          <w:color w:val="2B2B2B"/>
          <w:sz w:val="22"/>
        </w:rPr>
        <w:t xml:space="preserve"> «En la Figura 13 el predictor que encabeza el ranking SHAP es MES_SEMANA, el mes del año, por encima de la edad del activo, y esa variable no aparece en el diccionario de datos. Si la señal dominante es el calendario, ¿qué distingue el tablero entre dos activos distintos de la misma semana?» (pp. 100-101 contra pp. 68-70)</w:t>
      </w:r>
    </w:p>
    <w:p>
      <w:pPr>
        <w:pStyle w:val="ListBullet"/>
      </w:pPr>
      <w:r>
        <w:rPr>
          <w:rFonts w:ascii="Calibri" w:hAnsi="Calibri"/>
          <w:b/>
          <w:color w:val="2B2B2B"/>
          <w:sz w:val="22"/>
        </w:rPr>
        <w:t>Resumen contra abstract.</w:t>
      </w:r>
      <w:r>
        <w:rPr>
          <w:rFonts w:ascii="Calibri" w:hAnsi="Calibri"/>
          <w:b w:val="0"/>
          <w:color w:val="2B2B2B"/>
          <w:sz w:val="22"/>
        </w:rPr>
        <w:t xml:space="preserve"> «Su resumen, página 12, dice que esta entrega documenta el entrenamiento, la comparación, la evaluación y la selección multicriterio realizados; su abstract en inglés, página 14, dice que el modelamiento quedó como especificación metodológica y que CENS lo ejecutará sobre datos reales. ¿Cuál de los dos describe el estado real de la entrega?» (pp. 12 y 14)</w:t>
      </w:r>
    </w:p>
    <w:p>
      <w:pPr>
        <w:pStyle w:val="ListBullet"/>
      </w:pPr>
      <w:r>
        <w:rPr>
          <w:rFonts w:ascii="Calibri" w:hAnsi="Calibri"/>
          <w:b/>
          <w:color w:val="2B2B2B"/>
          <w:sz w:val="22"/>
        </w:rPr>
        <w:t>La Fase 5 contra sí misma.</w:t>
      </w:r>
      <w:r>
        <w:rPr>
          <w:rFonts w:ascii="Calibri" w:hAnsi="Calibri"/>
          <w:b w:val="0"/>
          <w:color w:val="2B2B2B"/>
          <w:sz w:val="22"/>
        </w:rPr>
        <w:t xml:space="preserve"> «En la página 55 el encabezado de la Fase 5 dice Estado: Ejecutada; análisis SHAP y matriz multicriterio, y cuatro líneas más abajo la última viñeta de esa misma fase dice que constituye la línea de trabajo recomendada para que CENS la ejecute. ¿Cuál de las dos frases está vigente?» (p. 55)</w:t>
      </w:r>
    </w:p>
    <w:p>
      <w:pPr>
        <w:pStyle w:val="ListBullet"/>
      </w:pPr>
      <w:r>
        <w:rPr>
          <w:rFonts w:ascii="Calibri" w:hAnsi="Calibri"/>
          <w:b/>
          <w:color w:val="2B2B2B"/>
          <w:sz w:val="22"/>
        </w:rPr>
        <w:t>Datos reales, oficiales o sintéticos.</w:t>
      </w:r>
      <w:r>
        <w:rPr>
          <w:rFonts w:ascii="Calibri" w:hAnsi="Calibri"/>
          <w:b w:val="0"/>
          <w:color w:val="2B2B2B"/>
          <w:sz w:val="22"/>
        </w:rPr>
        <w:t xml:space="preserve"> «La página 45 dice que se analizan datos históricos reales del sistema y la página 52 garantiza la validez mediante el uso de datos oficiales corporativos, mientras la página 112 llama al conjunto sintético estructurado para fines académicos. ¿Cuál de las tres frases queda vigente y cuáles van a corregir?» (pp. 45, 52 y 112)</w:t>
      </w:r>
    </w:p>
    <w:p>
      <w:pPr>
        <w:pStyle w:val="ListBullet"/>
      </w:pPr>
      <w:r>
        <w:rPr>
          <w:rFonts w:ascii="Calibri" w:hAnsi="Calibri"/>
          <w:b/>
          <w:color w:val="2B2B2B"/>
          <w:sz w:val="22"/>
        </w:rPr>
        <w:t>Las metas propias.</w:t>
      </w:r>
      <w:r>
        <w:rPr>
          <w:rFonts w:ascii="Calibri" w:hAnsi="Calibri"/>
          <w:b w:val="0"/>
          <w:color w:val="2B2B2B"/>
          <w:sz w:val="22"/>
        </w:rPr>
        <w:t xml:space="preserve"> «La página 28 declara como resultados esperados un AUC superior a 0,75 y un recall mínimo del 70 %; la Tabla 13 y la página 111 reportan 0,616 y 0,297. Díganme en qué página de las conclusiones confrontan la meta declarada con el resultado obtenido.» (pp. 28, 97 y 110-112)</w:t>
      </w:r>
    </w:p>
    <w:p>
      <w:pPr>
        <w:spacing w:before="140" w:after="60"/>
      </w:pPr>
      <w:r>
        <w:rPr>
          <w:rFonts w:ascii="Calibri" w:hAnsi="Calibri"/>
          <w:b/>
          <w:color w:val="0C2340"/>
          <w:sz w:val="27"/>
        </w:rPr>
        <w:t>De las diapositivas</w:t>
      </w:r>
    </w:p>
    <w:p>
      <w:pPr>
        <w:pStyle w:val="ListBullet"/>
      </w:pPr>
      <w:r>
        <w:rPr>
          <w:rFonts w:ascii="Calibri" w:hAnsi="Calibri"/>
          <w:b/>
          <w:color w:val="2B2B2B"/>
          <w:sz w:val="22"/>
        </w:rPr>
        <w:t>Los 600 registros.</w:t>
      </w:r>
      <w:r>
        <w:rPr>
          <w:rFonts w:ascii="Calibri" w:hAnsi="Calibri"/>
          <w:b w:val="0"/>
          <w:color w:val="2B2B2B"/>
          <w:sz w:val="22"/>
        </w:rPr>
        <w:t xml:space="preserve"> «Su diapositiva 9 desglosa la depuración en seis causas que suman 3.000 registros y los llama corregidos; la Tabla 12, página 78, dice 3.600 eliminados, el 4,11 %. Busqué esas seis cifras en las 115 páginas y no están: la Tabla 8 de la página 67 lista diez reglas de calidad sin un solo conteo. ¿De dónde salen los 400, los 1.000, los 500 y los 300 de esa diapositiva?» (diapositiva 9 contra pp. 67, 76 y 78)</w:t>
      </w:r>
    </w:p>
    <w:p>
      <w:pPr>
        <w:pStyle w:val="ListBullet"/>
      </w:pPr>
      <w:r>
        <w:rPr>
          <w:rFonts w:ascii="Calibri" w:hAnsi="Calibri"/>
          <w:b/>
          <w:color w:val="2B2B2B"/>
          <w:sz w:val="22"/>
        </w:rPr>
        <w:t>El tablero en pantalla.</w:t>
      </w:r>
      <w:r>
        <w:rPr>
          <w:rFonts w:ascii="Calibri" w:hAnsi="Calibri"/>
          <w:b w:val="0"/>
          <w:color w:val="2B2B2B"/>
          <w:sz w:val="22"/>
        </w:rPr>
        <w:t xml:space="preserve"> «La página 71 y la diapositiva 13 hablan de un prototipo funcional en Streamlit, y entre las 16 figuras del documento no hay una sola captura del tablero —ni en las 15 diapositivas—. Además los seis pasos que proyecta la diapositiva 13 son los de la Tabla 10, página 73, donde el documento dice que es el caso de uso bajo el cual el tablero </w:t>
      </w:r>
      <w:r>
        <w:rPr>
          <w:rFonts w:ascii="Calibri" w:hAnsi="Calibri"/>
          <w:i/>
          <w:color w:val="2B2B2B"/>
          <w:sz w:val="22"/>
        </w:rPr>
        <w:t>debería</w:t>
      </w:r>
      <w:r>
        <w:rPr>
          <w:rFonts w:ascii="Calibri" w:hAnsi="Calibri"/>
          <w:b w:val="0"/>
          <w:color w:val="2B2B2B"/>
          <w:sz w:val="22"/>
        </w:rPr>
        <w:t xml:space="preserve"> operar. ¿Pueden compartir pantalla ahora y ejecutar el caso ACT-012907 delante del jurado? Si no está corriendo, díganlo con esas palabras.» (pp. 11, 71-73 y diapositiva 13)</w:t>
      </w:r>
    </w:p>
    <w:p>
      <w:pPr>
        <w:pStyle w:val="ListBullet"/>
      </w:pPr>
      <w:r>
        <w:rPr>
          <w:rFonts w:ascii="Calibri" w:hAnsi="Calibri"/>
          <w:b/>
          <w:color w:val="2B2B2B"/>
          <w:sz w:val="22"/>
        </w:rPr>
        <w:t>La bibliografía de la presentación.</w:t>
      </w:r>
      <w:r>
        <w:rPr>
          <w:rFonts w:ascii="Calibri" w:hAnsi="Calibri"/>
          <w:b w:val="0"/>
          <w:color w:val="2B2B2B"/>
          <w:sz w:val="22"/>
        </w:rPr>
        <w:t xml:space="preserve"> «Guidotti y otros se cita en las páginas 22, 27 y 33 y no aparece en la bibliografía del documento; su diapositiva 15 sí la trae. También trae a Breiman, Molnar y Shearer, que no están en las 115 páginas, y la exposición se estructura con CRISP-DM, que tampoco. ¿Con qué bibliografía se armó la presentación, y por qué no es la misma del documento?» (pp. 22, 27, 33, 113-115; diapositivas 7 y 15)</w:t>
      </w:r>
    </w:p>
    <w:p>
      <w:pPr>
        <w:pStyle w:val="ListBullet"/>
      </w:pPr>
      <w:r>
        <w:rPr>
          <w:rFonts w:ascii="Calibri" w:hAnsi="Calibri"/>
          <w:b/>
          <w:color w:val="2B2B2B"/>
          <w:sz w:val="22"/>
        </w:rPr>
        <w:t>La métrica que no se proyecta.</w:t>
      </w:r>
      <w:r>
        <w:rPr>
          <w:rFonts w:ascii="Calibri" w:hAnsi="Calibri"/>
          <w:b w:val="0"/>
          <w:color w:val="2B2B2B"/>
          <w:sz w:val="22"/>
        </w:rPr>
        <w:t xml:space="preserve"> «Su diapositiva 11 compara los tres modelos con ROC-AUC, recall, F1 y accuracy, y no muestra el PR-AUC. La Tabla 13, página 97, reporta un PR-AUC máximo de 0,053 y tres umbrales de decisión distintos: 0,60, 0,57 y 0,05. ¿Por qué esas dos cosas no están en la diapositiva, y cuál de las dos métricas es la que hay que mirar cuando la clase positiva es rara?» (p. 97 contra diapositiva 11)</w:t>
      </w:r>
    </w:p>
    <w:p>
      <w:pPr>
        <w:pStyle w:val="ListBullet"/>
      </w:pPr>
      <w:r>
        <w:rPr>
          <w:rFonts w:ascii="Calibri" w:hAnsi="Calibri"/>
          <w:b/>
          <w:color w:val="2B2B2B"/>
          <w:sz w:val="22"/>
        </w:rPr>
        <w:t>Las dos particiones.</w:t>
      </w:r>
      <w:r>
        <w:rPr>
          <w:rFonts w:ascii="Calibri" w:hAnsi="Calibri"/>
          <w:b w:val="0"/>
          <w:color w:val="2B2B2B"/>
          <w:sz w:val="22"/>
        </w:rPr>
        <w:t xml:space="preserve"> «Su diapositiva 7 anuncia Train/Test 70-30 y cuatro láminas después la 11 muestra entrenamiento 2019-2024 con 6.409.824 registros y prueba 2025 con 1.003.200, que es 86,5 contra 13,5. ¿Cuál de las dos se ejecutó, y por qué la otra sigue en el mazo?» (diapositivas 7 y 11 contra pp. 51, 76 y 96)</w:t>
      </w:r>
    </w:p>
    <w:p>
      <w:pPr>
        <w:pStyle w:val="ListBullet"/>
      </w:pPr>
      <w:r>
        <w:rPr>
          <w:rFonts w:ascii="Calibri" w:hAnsi="Calibri"/>
          <w:b/>
          <w:color w:val="2B2B2B"/>
          <w:sz w:val="22"/>
        </w:rPr>
        <w:t>La validación cruzada anunciada dos veces.</w:t>
      </w:r>
      <w:r>
        <w:rPr>
          <w:rFonts w:ascii="Calibri" w:hAnsi="Calibri"/>
          <w:b w:val="0"/>
          <w:color w:val="2B2B2B"/>
          <w:sz w:val="22"/>
        </w:rPr>
        <w:t xml:space="preserve"> «La diapositiva 6 la pone en el objetivo específico 2 y la 8 la pone en la capa de analítica, y en la 11 solo aparece la partición temporal. ¿Se ejecutó alguna validación cruzada, con cuántos folds y estratificada por qué?» (diapositivas 6, 8 y 11 contra p. 51)</w:t>
      </w:r>
    </w:p>
    <w:p>
      <w:pPr>
        <w:pStyle w:val="ListBullet"/>
      </w:pPr>
      <w:r>
        <w:rPr>
          <w:rFonts w:ascii="Calibri" w:hAnsi="Calibri"/>
          <w:b/>
          <w:color w:val="2B2B2B"/>
          <w:sz w:val="22"/>
        </w:rPr>
        <w:t>La arquitectura sin XGBoost.</w:t>
      </w:r>
      <w:r>
        <w:rPr>
          <w:rFonts w:ascii="Calibri" w:hAnsi="Calibri"/>
          <w:b w:val="0"/>
          <w:color w:val="2B2B2B"/>
          <w:sz w:val="22"/>
        </w:rPr>
        <w:t xml:space="preserve"> «Su diapositiva 8 dice, en la capa de analítica, entrenamiento GLM y Random Forest, y el modelo que seleccionaron es XGBoost. ¿La arquitectura que proponen contempla el modelo que eligieron, o la lámina quedó de una versión anterior?» (diapositiva 8 contra pp. 12, 57 y 96-108)</w:t>
      </w:r>
    </w:p>
    <w:p>
      <w:pPr>
        <w:pStyle w:val="ListBullet"/>
      </w:pPr>
      <w:r>
        <w:rPr>
          <w:rFonts w:ascii="Calibri" w:hAnsi="Calibri"/>
          <w:b/>
          <w:color w:val="2B2B2B"/>
          <w:sz w:val="22"/>
        </w:rPr>
        <w:t>El SAIDI y el SAIFI de la diapositiva 3.</w:t>
      </w:r>
      <w:r>
        <w:rPr>
          <w:rFonts w:ascii="Calibri" w:hAnsi="Calibri"/>
          <w:b w:val="0"/>
          <w:color w:val="2B2B2B"/>
          <w:sz w:val="22"/>
        </w:rPr>
        <w:t xml:space="preserve"> «Su introducción dice que el proyecto predice fallas y el comportamiento de los indicadores SAIDI y SAIFI. En la Tabla 9 los dos están marcados como excluidos de los predictores y usados solo como contexto, y la salida del modelo es una probabilidad de falla por activo-semana. ¿En qué tabla se pronostica un valor de SAIDI?» (diapositiva 3 contra pp. 19, 23, 25 y 68-70)</w:t>
      </w:r>
    </w:p>
    <w:p>
      <w:pPr>
        <w:spacing w:before="200" w:after="60"/>
      </w:pPr>
      <w:r>
        <w:rPr>
          <w:rFonts w:ascii="Calibri" w:hAnsi="Calibri"/>
          <w:b/>
          <w:color w:val="007433"/>
          <w:sz w:val="32"/>
        </w:rPr>
        <w:t>7. PREGUNTAS DESPUÉS — condicionales, para marcar en caliente</w:t>
      </w:r>
    </w:p>
    <w:p>
      <w:pPr>
        <w:pStyle w:val="ListBullet"/>
      </w:pPr>
      <w:r>
        <w:rPr>
          <w:rFonts w:ascii="Calibri" w:hAnsi="Calibri"/>
          <w:b/>
          <w:color w:val="2B2B2B"/>
          <w:sz w:val="22"/>
        </w:rPr>
        <w:t>Si en toda la exposición no dijeron la palabra «sintético» o «simulado»</w:t>
      </w:r>
      <w:r>
        <w:rPr>
          <w:rFonts w:ascii="Calibri" w:hAnsi="Calibri"/>
          <w:b w:val="0"/>
          <w:color w:val="2B2B2B"/>
          <w:sz w:val="22"/>
        </w:rPr>
        <w:t xml:space="preserve"> → preguntar directamente: «¿los 83.900 eventos que acaban de mostrar son registros reales de CENS?» y dejar que ellos mismos hagan la corrección. Es la pregunta que no se puede dejar de hacer, y hay que hacerla sin ánimo acusatorio: el documento sí lo declara (pp. 14, 112), así que lo más probable es que sea una omisión de la diapositiva, no una intención.</w:t>
      </w:r>
    </w:p>
    <w:p>
      <w:pPr>
        <w:pStyle w:val="ListBullet"/>
      </w:pPr>
      <w:r>
        <w:rPr>
          <w:rFonts w:ascii="Calibri" w:hAnsi="Calibri"/>
          <w:b/>
          <w:color w:val="2B2B2B"/>
          <w:sz w:val="22"/>
        </w:rPr>
        <w:t>Si sí lo declararon con claridad</w:t>
      </w:r>
      <w:r>
        <w:rPr>
          <w:rFonts w:ascii="Calibri" w:hAnsi="Calibri"/>
          <w:b w:val="0"/>
          <w:color w:val="2B2B2B"/>
          <w:sz w:val="22"/>
        </w:rPr>
        <w:t xml:space="preserve"> → subir el nivel: preguntar cómo generaron el conjunto y qué relaciones inyectaron, y por qué un modelo entrenado sobre datos generados por ellos alcanza apenas 0,616 de AUC: la respuesta a eso distingue a quien entiende el experimento de quien lo ejecutó.</w:t>
      </w:r>
    </w:p>
    <w:p>
      <w:pPr>
        <w:pStyle w:val="ListBullet"/>
      </w:pPr>
      <w:r>
        <w:rPr>
          <w:rFonts w:ascii="Calibri" w:hAnsi="Calibri"/>
          <w:b/>
          <w:color w:val="2B2B2B"/>
          <w:sz w:val="22"/>
        </w:rPr>
        <w:t>Si mostraron el tablero funcionando en pantalla</w:t>
      </w:r>
      <w:r>
        <w:rPr>
          <w:rFonts w:ascii="Calibri" w:hAnsi="Calibri"/>
          <w:b w:val="0"/>
          <w:color w:val="2B2B2B"/>
          <w:sz w:val="22"/>
        </w:rPr>
        <w:t xml:space="preserve"> → soltar la reserva del tablero y subir el nivel: «¿de dónde lee las variables del activo: del CSV del panel o de una consulta a la capa de integración? ¿Y qué pasa si al activo le faltan variables predictoras, como prevé el paso 2 de la Tabla 10 (p. 73)?»</w:t>
      </w:r>
    </w:p>
    <w:p>
      <w:pPr>
        <w:pStyle w:val="ListBullet"/>
      </w:pPr>
      <w:r>
        <w:rPr>
          <w:rFonts w:ascii="Calibri" w:hAnsi="Calibri"/>
          <w:b/>
          <w:color w:val="2B2B2B"/>
          <w:sz w:val="22"/>
        </w:rPr>
        <w:t>Si no mostraron el tablero pero afirmaron que existe</w:t>
      </w:r>
      <w:r>
        <w:rPr>
          <w:rFonts w:ascii="Calibri" w:hAnsi="Calibri"/>
          <w:b w:val="0"/>
          <w:color w:val="2B2B2B"/>
          <w:sz w:val="22"/>
        </w:rPr>
        <w:t xml:space="preserve"> → usar la reserva del tablero: pedir la descripción de los seis pasos y de la salida concreta para ACT-012907, y anotar si coincide con la Tabla 10 y con el caso de la p. 72.</w:t>
      </w:r>
    </w:p>
    <w:p>
      <w:pPr>
        <w:pStyle w:val="ListBullet"/>
      </w:pPr>
      <w:r>
        <w:rPr>
          <w:rFonts w:ascii="Calibri" w:hAnsi="Calibri"/>
          <w:b/>
          <w:color w:val="2B2B2B"/>
          <w:sz w:val="22"/>
        </w:rPr>
        <w:t>Si se pasaron de tiempo y saltaron el capítulo de modelamiento</w:t>
      </w:r>
      <w:r>
        <w:rPr>
          <w:rFonts w:ascii="Calibri" w:hAnsi="Calibri"/>
          <w:b w:val="0"/>
          <w:color w:val="2B2B2B"/>
          <w:sz w:val="22"/>
        </w:rPr>
        <w:t xml:space="preserve"> → ir directo a los resultados: «díganme los tres AUC y el recall del modelo que seleccionaron, y por qué escogieron XGBoost si Random Forest tiene mejor recall (p. 111), que en mantenimiento es la métrica que evita dejar pasar una falla».</w:t>
      </w:r>
    </w:p>
    <w:p>
      <w:pPr>
        <w:pStyle w:val="ListBullet"/>
      </w:pPr>
      <w:r>
        <w:rPr>
          <w:rFonts w:ascii="Calibri" w:hAnsi="Calibri"/>
          <w:b/>
          <w:color w:val="2B2B2B"/>
          <w:sz w:val="22"/>
        </w:rPr>
        <w:t>Si afirmaron que el clima mejora la predicción</w:t>
      </w:r>
      <w:r>
        <w:rPr>
          <w:rFonts w:ascii="Calibri" w:hAnsi="Calibri"/>
          <w:b w:val="0"/>
          <w:color w:val="2B2B2B"/>
          <w:sz w:val="22"/>
        </w:rPr>
        <w:t xml:space="preserve"> → preguntar con qué evidencia, porque la p. 88 dice expresamente que eso no puede afirmarse sin comparar modelos con y sin esas variables.</w:t>
      </w:r>
    </w:p>
    <w:p>
      <w:pPr>
        <w:pStyle w:val="ListBullet"/>
      </w:pPr>
      <w:r>
        <w:rPr>
          <w:rFonts w:ascii="Calibri" w:hAnsi="Calibri"/>
          <w:b/>
          <w:color w:val="2B2B2B"/>
          <w:sz w:val="22"/>
        </w:rPr>
        <w:t>Si dijeron «validado con CENS» o «validado con usuarios técnicos»</w:t>
      </w:r>
      <w:r>
        <w:rPr>
          <w:rFonts w:ascii="Calibri" w:hAnsi="Calibri"/>
          <w:b w:val="0"/>
          <w:color w:val="2B2B2B"/>
          <w:sz w:val="22"/>
        </w:rPr>
        <w:t xml:space="preserve"> → es la pregunta 3, y hay que hacerla bien: </w:t>
      </w:r>
      <w:r>
        <w:rPr>
          <w:rFonts w:ascii="Calibri" w:hAnsi="Calibri"/>
          <w:b/>
          <w:color w:val="2B2B2B"/>
          <w:sz w:val="22"/>
        </w:rPr>
        <w:t>tienen respaldo textual</w:t>
      </w:r>
      <w:r>
        <w:rPr>
          <w:rFonts w:ascii="Calibri" w:hAnsi="Calibri"/>
          <w:b w:val="0"/>
          <w:color w:val="2B2B2B"/>
          <w:sz w:val="22"/>
        </w:rPr>
        <w:t>, porque la p. 66 afirma en pasado que los instrumentos «fueron sometidos a un proceso de validación técnica interna mediante revisión por juicio de expertos» de Operación del Sistema, Gestión de Activos y Analítica de Datos de CENS, y que «se realizó una prueba piloto de integración». La p. 75 sí sitúa la validación con usuarios técnicos como recomendación futura, y la p. 12 dice que no hubo acceso a los sistemas productivos: el filo está en la contradicción, no en negar que el documento lo diga. Ir por quiénes, cuántos, cuándo y con qué instrumento.</w:t>
      </w:r>
    </w:p>
    <w:p>
      <w:pPr>
        <w:pStyle w:val="ListBullet"/>
      </w:pPr>
      <w:r>
        <w:rPr>
          <w:rFonts w:ascii="Calibri" w:hAnsi="Calibri"/>
          <w:b/>
          <w:color w:val="2B2B2B"/>
          <w:sz w:val="22"/>
        </w:rPr>
        <w:t>Si habló solo uno de los dos</w:t>
      </w:r>
      <w:r>
        <w:rPr>
          <w:rFonts w:ascii="Calibri" w:hAnsi="Calibri"/>
          <w:b w:val="0"/>
          <w:color w:val="2B2B2B"/>
          <w:sz w:val="22"/>
        </w:rPr>
        <w:t xml:space="preserve"> → pedir explícitamente al otro que explique su parte, aprovechando que la diapositiva 2 declara perfiles distintos: al ingeniero electromecánico, cómo se traduce una probabilidad de 0,345 en una orden de trabajo y en el SAIDI del mercado; al ingeniero de sistemas, cómo se construyó la clase negativa del panel activo-semana (p. 48).</w:t>
      </w:r>
    </w:p>
    <w:p>
      <w:pPr>
        <w:pStyle w:val="ListBullet"/>
      </w:pPr>
      <w:r>
        <w:rPr>
          <w:rFonts w:ascii="Calibri" w:hAnsi="Calibri"/>
          <w:b/>
          <w:color w:val="2B2B2B"/>
          <w:sz w:val="22"/>
        </w:rPr>
        <w:t>Si presentan el proyecto como implementable ya en CENS</w:t>
      </w:r>
      <w:r>
        <w:rPr>
          <w:rFonts w:ascii="Calibri" w:hAnsi="Calibri"/>
          <w:b w:val="0"/>
          <w:color w:val="2B2B2B"/>
          <w:sz w:val="22"/>
        </w:rPr>
        <w:t xml:space="preserve"> → recordar sus propias palabras de la p. 112 y preguntar qué tres condiciones tendrían que cumplirse antes (la p. 74 ya las enumera: acceso y calidad de las fuentes reales, reentrenamiento sobre datos reales, implementación del tablero).</w:t>
      </w:r>
    </w:p>
    <w:p>
      <w:pPr>
        <w:pStyle w:val="ListBullet"/>
      </w:pPr>
      <w:r>
        <w:rPr>
          <w:rFonts w:ascii="Calibri" w:hAnsi="Calibri"/>
          <w:b/>
          <w:color w:val="2B2B2B"/>
          <w:sz w:val="22"/>
        </w:rPr>
        <w:t>Si contestan todo bien y sobra medio minuto</w:t>
      </w:r>
      <w:r>
        <w:rPr>
          <w:rFonts w:ascii="Calibri" w:hAnsi="Calibri"/>
          <w:b w:val="0"/>
          <w:color w:val="2B2B2B"/>
          <w:sz w:val="22"/>
        </w:rPr>
        <w:t xml:space="preserve"> → cerrar con la reserva de las 20 variables: la p. 100 dice que el XGBoost final usó 20 predictoras, la Tabla 9 documenta 7 y la Figura 13 muestra 15. Que enumeren las 20 o digan en qué página están.</w:t>
      </w:r>
    </w:p>
    <w:p>
      <w:pPr>
        <w:spacing w:before="200" w:after="60"/>
      </w:pPr>
      <w:r>
        <w:rPr>
          <w:rFonts w:ascii="Calibri" w:hAnsi="Calibri"/>
          <w:b/>
          <w:color w:val="007433"/>
          <w:sz w:val="32"/>
        </w:rPr>
        <w:t>8. Umbrales de nota (escala 0,1–5,0, cuatro criterios del jurado)</w:t>
      </w:r>
    </w:p>
    <w:p>
      <w:r>
        <w:rPr>
          <w:rFonts w:ascii="Calibri" w:hAnsi="Calibri"/>
          <w:b w:val="0"/>
          <w:color w:val="2B2B2B"/>
          <w:sz w:val="22"/>
        </w:rPr>
        <w:t>Nivel de referencia: especialización profesionalizante. No se exige aporte teórico original, muestra representativa ni validación externa del instrumento; se exige coherencia, evidencia de que se hizo y honestidad sobre los límites.</w:t>
      </w:r>
    </w:p>
    <w:p>
      <w:r>
        <w:rPr>
          <w:rFonts w:ascii="Calibri" w:hAnsi="Calibri"/>
          <w:b/>
          <w:color w:val="2B2B2B"/>
          <w:sz w:val="22"/>
        </w:rPr>
        <w:t>Para 4,6 o más (excelente, umbral de meritoria) necesito ver las cuatro cosas:</w:t>
      </w:r>
    </w:p>
    <w:p>
      <w:pPr>
        <w:pStyle w:val="ListNumber"/>
      </w:pPr>
      <w:r>
        <w:rPr>
          <w:rFonts w:ascii="Calibri" w:hAnsi="Calibri"/>
          <w:b w:val="0"/>
          <w:color w:val="2B2B2B"/>
          <w:sz w:val="22"/>
        </w:rPr>
        <w:t xml:space="preserve">Que </w:t>
      </w:r>
      <w:r>
        <w:rPr>
          <w:rFonts w:ascii="Calibri" w:hAnsi="Calibri"/>
          <w:b/>
          <w:color w:val="2B2B2B"/>
          <w:sz w:val="22"/>
        </w:rPr>
        <w:t>enuncien en voz alta</w:t>
      </w:r>
      <w:r>
        <w:rPr>
          <w:rFonts w:ascii="Calibri" w:hAnsi="Calibri"/>
          <w:b w:val="0"/>
          <w:color w:val="2B2B2B"/>
          <w:sz w:val="22"/>
        </w:rPr>
        <w:t xml:space="preserve"> que el conjunto es sintético, sin que haya que preguntarlo, y que expliquen cómo se generó.</w:t>
      </w:r>
    </w:p>
    <w:p>
      <w:pPr>
        <w:pStyle w:val="ListNumber"/>
      </w:pPr>
      <w:r>
        <w:rPr>
          <w:rFonts w:ascii="Calibri" w:hAnsi="Calibri"/>
          <w:b w:val="0"/>
          <w:color w:val="2B2B2B"/>
          <w:sz w:val="22"/>
        </w:rPr>
        <w:t xml:space="preserve">Que </w:t>
      </w:r>
      <w:r>
        <w:rPr>
          <w:rFonts w:ascii="Calibri" w:hAnsi="Calibri"/>
          <w:b/>
          <w:color w:val="2B2B2B"/>
          <w:sz w:val="22"/>
        </w:rPr>
        <w:t>reconozcan</w:t>
      </w:r>
      <w:r>
        <w:rPr>
          <w:rFonts w:ascii="Calibri" w:hAnsi="Calibri"/>
          <w:b w:val="0"/>
          <w:color w:val="2B2B2B"/>
          <w:sz w:val="22"/>
        </w:rPr>
        <w:t xml:space="preserve"> que sus metas de AUC y recall no se alcanzaron y sostengan una lectura técnica correcta de un AUC de 0,616 (priorización, no predicción determinística).</w:t>
      </w:r>
    </w:p>
    <w:p>
      <w:pPr>
        <w:pStyle w:val="ListNumber"/>
      </w:pPr>
      <w:r>
        <w:rPr>
          <w:rFonts w:ascii="Calibri" w:hAnsi="Calibri"/>
          <w:b w:val="0"/>
          <w:color w:val="2B2B2B"/>
          <w:sz w:val="22"/>
        </w:rPr>
        <w:t xml:space="preserve">Que </w:t>
      </w:r>
      <w:r>
        <w:rPr>
          <w:rFonts w:ascii="Calibri" w:hAnsi="Calibri"/>
          <w:b/>
          <w:color w:val="2B2B2B"/>
          <w:sz w:val="22"/>
        </w:rPr>
        <w:t>muestren el tablero</w:t>
      </w:r>
      <w:r>
        <w:rPr>
          <w:rFonts w:ascii="Calibri" w:hAnsi="Calibri"/>
          <w:b w:val="0"/>
          <w:color w:val="2B2B2B"/>
          <w:sz w:val="22"/>
        </w:rPr>
        <w:t xml:space="preserve"> funcionando o den evidencia equivalente.</w:t>
      </w:r>
    </w:p>
    <w:p>
      <w:pPr>
        <w:pStyle w:val="ListNumber"/>
      </w:pPr>
      <w:r>
        <w:rPr>
          <w:rFonts w:ascii="Calibri" w:hAnsi="Calibri"/>
          <w:b w:val="0"/>
          <w:color w:val="2B2B2B"/>
          <w:sz w:val="22"/>
        </w:rPr>
        <w:t xml:space="preserve">Que </w:t>
      </w:r>
      <w:r>
        <w:rPr>
          <w:rFonts w:ascii="Calibri" w:hAnsi="Calibri"/>
          <w:b/>
          <w:color w:val="2B2B2B"/>
          <w:sz w:val="22"/>
        </w:rPr>
        <w:t>ambos integrantes</w:t>
      </w:r>
      <w:r>
        <w:rPr>
          <w:rFonts w:ascii="Calibri" w:hAnsi="Calibri"/>
          <w:b w:val="0"/>
          <w:color w:val="2B2B2B"/>
          <w:sz w:val="22"/>
        </w:rPr>
        <w:t xml:space="preserve"> demuestren dominio de su parte, y que respondan bien al menos una de las preguntas de reserva (desbalance, umbrales o particiones).</w:t>
      </w:r>
    </w:p>
    <w:p>
      <w:r>
        <w:rPr>
          <w:rFonts w:ascii="Calibri" w:hAnsi="Calibri"/>
          <w:b/>
          <w:color w:val="2B2B2B"/>
          <w:sz w:val="22"/>
        </w:rPr>
        <w:t>4,0 – 4,4 (buen desempeño):</w:t>
      </w:r>
      <w:r>
        <w:rPr>
          <w:rFonts w:ascii="Calibri" w:hAnsi="Calibri"/>
          <w:b w:val="0"/>
          <w:color w:val="2B2B2B"/>
          <w:sz w:val="22"/>
        </w:rPr>
        <w:t xml:space="preserve"> si declaran lo sintético y defienden bien la metodología —panel activo-semana y fuga de información, que es lo mejor que tienen—, pero </w:t>
      </w:r>
      <w:r>
        <w:rPr>
          <w:rFonts w:ascii="Calibri" w:hAnsi="Calibri"/>
          <w:b/>
          <w:color w:val="2B2B2B"/>
          <w:sz w:val="22"/>
        </w:rPr>
        <w:t>falta la evidencia del producto</w:t>
      </w:r>
      <w:r>
        <w:rPr>
          <w:rFonts w:ascii="Calibri" w:hAnsi="Calibri"/>
          <w:b w:val="0"/>
          <w:color w:val="2B2B2B"/>
          <w:sz w:val="22"/>
        </w:rPr>
        <w:t xml:space="preserve"> o </w:t>
      </w:r>
      <w:r>
        <w:rPr>
          <w:rFonts w:ascii="Calibri" w:hAnsi="Calibri"/>
          <w:b/>
          <w:color w:val="2B2B2B"/>
          <w:sz w:val="22"/>
        </w:rPr>
        <w:t>eluden la comparación con sus propias metas</w:t>
      </w:r>
      <w:r>
        <w:rPr>
          <w:rFonts w:ascii="Calibri" w:hAnsi="Calibri"/>
          <w:b w:val="0"/>
          <w:color w:val="2B2B2B"/>
          <w:sz w:val="22"/>
        </w:rPr>
        <w:t>. Es el escenario más probable a la luz de los dos documentos. Aquí es donde hoy leo el trabajo.</w:t>
      </w:r>
    </w:p>
    <w:p>
      <w:r>
        <w:rPr>
          <w:rFonts w:ascii="Calibri" w:hAnsi="Calibri"/>
          <w:b/>
          <w:color w:val="2B2B2B"/>
          <w:sz w:val="22"/>
        </w:rPr>
        <w:t>3,6 – 3,9:</w:t>
      </w:r>
      <w:r>
        <w:rPr>
          <w:rFonts w:ascii="Calibri" w:hAnsi="Calibri"/>
          <w:b w:val="0"/>
          <w:color w:val="2B2B2B"/>
          <w:sz w:val="22"/>
        </w:rPr>
        <w:t xml:space="preserve"> si declaran lo sintético solo al ser preguntados, describen resultados sin poder explicar cómo se obtuvieron, y el producto queda en «especificado». La coherencia del documento pesa en contra por los restos de versión anterior (pp. 29, 45, 55, 77 contra pp. 96-108) y por el 18 % que no cuadra (p. 49).</w:t>
      </w:r>
    </w:p>
    <w:p>
      <w:r>
        <w:rPr>
          <w:rFonts w:ascii="Calibri" w:hAnsi="Calibri"/>
          <w:b/>
          <w:color w:val="2B2B2B"/>
          <w:sz w:val="22"/>
        </w:rPr>
        <w:t>3,0 – 3,5 (aceptable):</w:t>
      </w:r>
      <w:r>
        <w:rPr>
          <w:rFonts w:ascii="Calibri" w:hAnsi="Calibri"/>
          <w:b w:val="0"/>
          <w:color w:val="2B2B2B"/>
          <w:sz w:val="22"/>
        </w:rPr>
        <w:t xml:space="preserve"> si en sala se sostiene que los datos son reales de CENS y, al mostrarles la p. 14, no hay una explicación consistente; o si un solo integrante puede responder por todo el trabajo.</w:t>
      </w:r>
    </w:p>
    <w:p>
      <w:r>
        <w:rPr>
          <w:rFonts w:ascii="Calibri" w:hAnsi="Calibri"/>
          <w:b/>
          <w:color w:val="2B2B2B"/>
          <w:sz w:val="22"/>
        </w:rPr>
        <w:t>Por debajo de 3,0:</w:t>
      </w:r>
      <w:r>
        <w:rPr>
          <w:rFonts w:ascii="Calibri" w:hAnsi="Calibri"/>
          <w:b w:val="0"/>
          <w:color w:val="2B2B2B"/>
          <w:sz w:val="22"/>
        </w:rPr>
        <w:t xml:space="preserve"> solo si se afirma un producto o una validación institucional que el documento contradice y se insiste en ello tras la aclaración. Nada de lo leído hasta ahora apunta a este escenario: el documento es honesto donde importa.</w:t>
      </w:r>
    </w:p>
    <w:p>
      <w:r>
        <w:rPr>
          <w:rFonts w:ascii="Calibri" w:hAnsi="Calibri"/>
          <w:b/>
          <w:color w:val="2B2B2B"/>
          <w:sz w:val="22"/>
        </w:rPr>
        <w:t>Nota sobre la meritoria:</w:t>
      </w:r>
      <w:r>
        <w:rPr>
          <w:rFonts w:ascii="Calibri" w:hAnsi="Calibri"/>
          <w:b w:val="0"/>
          <w:color w:val="2B2B2B"/>
          <w:sz w:val="22"/>
        </w:rPr>
        <w:t xml:space="preserve"> con AUC de 0,616, con la hipótesis 1 sin contrastar y con el 18 % de la p. 49 sin conciliar, no propondría meritoria salvo que la defensa oral sea sobresaliente en los cuatro puntos de arriba. Y si voy a poner 4,4, la página es la 28 contra la 97.</w:t>
      </w:r>
    </w:p>
    <w:p>
      <w:pPr>
        <w:spacing w:before="200" w:after="60"/>
      </w:pPr>
      <w:r>
        <w:rPr>
          <w:rFonts w:ascii="Calibri" w:hAnsi="Calibri"/>
          <w:b/>
          <w:color w:val="007433"/>
          <w:sz w:val="32"/>
        </w:rPr>
        <w:t>8.1 Formulario oficial del jurado — 5 criterios en escala 1–5</w:t>
      </w:r>
    </w:p>
    <w:p>
      <w:pPr>
        <w:ind w:left="432"/>
        <w:shd w:val="clear" w:fill="E8F5EC"/>
      </w:pPr>
      <w:r>
        <w:rPr>
          <w:rFonts w:ascii="Calibri" w:hAnsi="Calibri"/>
          <w:b/>
          <w:i/>
          <w:color w:val="2B2B2B"/>
          <w:sz w:val="21"/>
        </w:rPr>
        <w:t>Instrumento distinto de los cuatro criterios de arriba.</w:t>
      </w:r>
      <w:r>
        <w:rPr>
          <w:rFonts w:ascii="Calibri" w:hAnsi="Calibri"/>
          <w:b w:val="0"/>
          <w:i/>
          <w:color w:val="2B2B2B"/>
          <w:sz w:val="21"/>
        </w:rPr>
        <w:t xml:space="preserve"> Son las cinco preguntas del formulario que la Dirección le pide al jurado, cada una con opciones </w:t>
      </w:r>
      <w:r>
        <w:rPr>
          <w:rFonts w:ascii="Calibri" w:hAnsi="Calibri"/>
          <w:b/>
          <w:i/>
          <w:color w:val="2B2B2B"/>
          <w:sz w:val="21"/>
        </w:rPr>
        <w:t>1 2 3 4 5</w:t>
      </w:r>
      <w:r>
        <w:rPr>
          <w:rFonts w:ascii="Calibri" w:hAnsi="Calibri"/>
          <w:b w:val="0"/>
          <w:i/>
          <w:color w:val="2B2B2B"/>
          <w:sz w:val="21"/>
        </w:rPr>
        <w:t xml:space="preserve">. </w:t>
      </w:r>
      <w:r>
        <w:rPr>
          <w:rFonts w:ascii="Calibri" w:hAnsi="Calibri"/>
          <w:b/>
          <w:i/>
          <w:color w:val="2B2B2B"/>
          <w:sz w:val="21"/>
        </w:rPr>
        <w:t>Ninguna califica la sustentación oral:</w:t>
      </w:r>
      <w:r>
        <w:rPr>
          <w:rFonts w:ascii="Calibri" w:hAnsi="Calibri"/>
          <w:b w:val="0"/>
          <w:i/>
          <w:color w:val="2B2B2B"/>
          <w:sz w:val="21"/>
        </w:rPr>
        <w:t xml:space="preserve"> las cinco se responden con el documento, así que van precargadas con la página que las sostiene y en sala solo se confirman.</w:t>
      </w:r>
    </w:p>
    <w:p>
      <w:pPr>
        <w:ind w:left="432"/>
        <w:shd w:val="clear" w:fill="E8F5EC"/>
      </w:pPr>
    </w:p>
    <w:p>
      <w:pPr>
        <w:ind w:left="432"/>
        <w:shd w:val="clear" w:fill="E8F5EC"/>
      </w:pPr>
      <w:r>
        <w:rPr>
          <w:rFonts w:ascii="Calibri" w:hAnsi="Calibri"/>
          <w:b w:val="0"/>
          <w:i/>
          <w:color w:val="2B2B2B"/>
          <w:sz w:val="21"/>
        </w:rPr>
        <w:t xml:space="preserve">Lectura de la escala, fijada de antemano: </w:t>
      </w:r>
      <w:r>
        <w:rPr>
          <w:rFonts w:ascii="Calibri" w:hAnsi="Calibri"/>
          <w:b/>
          <w:i/>
          <w:color w:val="2B2B2B"/>
          <w:sz w:val="21"/>
        </w:rPr>
        <w:t>5</w:t>
      </w:r>
      <w:r>
        <w:rPr>
          <w:rFonts w:ascii="Calibri" w:hAnsi="Calibri"/>
          <w:b w:val="0"/>
          <w:i/>
          <w:color w:val="2B2B2B"/>
          <w:sz w:val="21"/>
        </w:rPr>
        <w:t xml:space="preserve"> sobresaliente, sin reparos de fondo · </w:t>
      </w:r>
      <w:r>
        <w:rPr>
          <w:rFonts w:ascii="Calibri" w:hAnsi="Calibri"/>
          <w:b/>
          <w:i/>
          <w:color w:val="2B2B2B"/>
          <w:sz w:val="21"/>
        </w:rPr>
        <w:t>4</w:t>
      </w:r>
      <w:r>
        <w:rPr>
          <w:rFonts w:ascii="Calibri" w:hAnsi="Calibri"/>
          <w:b w:val="0"/>
          <w:i/>
          <w:color w:val="2B2B2B"/>
          <w:sz w:val="21"/>
        </w:rPr>
        <w:t xml:space="preserve"> sólido, con reparos menores y declarados · </w:t>
      </w:r>
      <w:r>
        <w:rPr>
          <w:rFonts w:ascii="Calibri" w:hAnsi="Calibri"/>
          <w:b/>
          <w:i/>
          <w:color w:val="2B2B2B"/>
          <w:sz w:val="21"/>
        </w:rPr>
        <w:t>3</w:t>
      </w:r>
      <w:r>
        <w:rPr>
          <w:rFonts w:ascii="Calibri" w:hAnsi="Calibri"/>
          <w:b w:val="0"/>
          <w:i/>
          <w:color w:val="2B2B2B"/>
          <w:sz w:val="21"/>
        </w:rPr>
        <w:t xml:space="preserve"> aceptable, con un reparo de fondo que el documento no resuelve · </w:t>
      </w:r>
      <w:r>
        <w:rPr>
          <w:rFonts w:ascii="Calibri" w:hAnsi="Calibri"/>
          <w:b/>
          <w:i/>
          <w:color w:val="2B2B2B"/>
          <w:sz w:val="21"/>
        </w:rPr>
        <w:t>2</w:t>
      </w:r>
      <w:r>
        <w:rPr>
          <w:rFonts w:ascii="Calibri" w:hAnsi="Calibri"/>
          <w:b w:val="0"/>
          <w:i/>
          <w:color w:val="2B2B2B"/>
          <w:sz w:val="21"/>
        </w:rPr>
        <w:t xml:space="preserve"> deficiente: hay material, pero se contradice o no sostiene lo que afirma · </w:t>
      </w:r>
      <w:r>
        <w:rPr>
          <w:rFonts w:ascii="Calibri" w:hAnsi="Calibri"/>
          <w:b/>
          <w:i/>
          <w:color w:val="2B2B2B"/>
          <w:sz w:val="21"/>
        </w:rPr>
        <w:t>1</w:t>
      </w:r>
      <w:r>
        <w:rPr>
          <w:rFonts w:ascii="Calibri" w:hAnsi="Calibri"/>
          <w:b w:val="0"/>
          <w:i/>
          <w:color w:val="2B2B2B"/>
          <w:sz w:val="21"/>
        </w:rPr>
        <w:t xml:space="preserve"> sin base verificable en el documento.</w:t>
      </w:r>
    </w:p>
    <w:p>
      <w:pPr>
        <w:ind w:left="432"/>
        <w:shd w:val="clear" w:fill="E8F5EC"/>
      </w:pPr>
    </w:p>
    <w:p>
      <w:pPr>
        <w:ind w:left="432"/>
        <w:shd w:val="clear" w:fill="E8F5EC"/>
      </w:pPr>
      <w:r>
        <w:rPr>
          <w:rFonts w:ascii="Calibri" w:hAnsi="Calibri"/>
          <w:b w:val="0"/>
          <w:i/>
          <w:color w:val="2B2B2B"/>
          <w:sz w:val="21"/>
        </w:rPr>
        <w:t xml:space="preserve">⚠️ </w:t>
      </w:r>
      <w:r>
        <w:rPr>
          <w:rFonts w:ascii="Calibri" w:hAnsi="Calibri"/>
          <w:b/>
          <w:i/>
          <w:color w:val="2B2B2B"/>
          <w:sz w:val="21"/>
        </w:rPr>
        <w:t>Este 1–5 no es la nota del acta.</w:t>
      </w:r>
      <w:r>
        <w:rPr>
          <w:rFonts w:ascii="Calibri" w:hAnsi="Calibri"/>
          <w:b w:val="0"/>
          <w:i/>
          <w:color w:val="2B2B2B"/>
          <w:sz w:val="21"/>
        </w:rPr>
        <w:t xml:space="preserve"> La nota que se reporta sale de los cuatro criterios y de los umbrales de esta §8. La casilla del formulario la marca el jurado humano; esto es una propuesta con página.</w:t>
      </w:r>
    </w:p>
    <w:p>
      <w:r>
        <w:rPr>
          <w:rFonts w:ascii="Calibri" w:hAnsi="Calibri"/>
          <w:b/>
          <w:color w:val="2B2B2B"/>
          <w:sz w:val="22"/>
        </w:rPr>
        <w:t>1. Planteamiento de la problemática y formulación de objetivos</w:t>
      </w:r>
      <w:r>
        <w:rPr>
          <w:rFonts w:ascii="Calibri" w:hAnsi="Calibri"/>
          <w:b w:val="0"/>
          <w:color w:val="2B2B2B"/>
          <w:sz w:val="22"/>
        </w:rPr>
        <w:t xml:space="preserve"> — propuesto </w:t>
      </w:r>
      <w:r>
        <w:rPr>
          <w:rFonts w:ascii="Calibri" w:hAnsi="Calibri"/>
          <w:b/>
          <w:color w:val="2B2B2B"/>
          <w:sz w:val="22"/>
        </w:rPr>
        <w:t>4</w:t>
      </w:r>
      <w:r>
        <w:rPr>
          <w:rFonts w:ascii="Calibri" w:hAnsi="Calibri"/>
          <w:b w:val="0"/>
          <w:color w:val="2B2B2B"/>
          <w:sz w:val="22"/>
        </w:rPr>
        <w:t xml:space="preserve"> / 5</w:t>
      </w:r>
    </w:p>
    <w:p>
      <w:pPr>
        <w:ind w:left="432"/>
        <w:shd w:val="clear" w:fill="E8F5EC"/>
      </w:pPr>
      <w:r>
        <w:rPr>
          <w:rFonts w:ascii="Calibri" w:hAnsi="Calibri"/>
          <w:b w:val="0"/>
          <w:i/>
          <w:color w:val="2B2B2B"/>
          <w:sz w:val="21"/>
        </w:rPr>
        <w:t>Claridad, pertinencia y delimitación del problema de investigación, así como la coherencia y precisión de los objetivos propuestos, verificando su alineación con el propósito del estudio y su viabilidad investigativa.</w:t>
      </w:r>
    </w:p>
    <w:p>
      <w:r>
        <w:rPr>
          <w:rFonts w:ascii="Calibri" w:hAnsi="Calibri"/>
          <w:b w:val="0"/>
          <w:color w:val="2B2B2B"/>
          <w:sz w:val="22"/>
        </w:rPr>
        <w:t xml:space="preserve">Problema técnicamente pertinente y bien delimitado, y algo que casi nadie hace: </w:t>
      </w:r>
      <w:r>
        <w:rPr>
          <w:rFonts w:ascii="Calibri" w:hAnsi="Calibri"/>
          <w:b/>
          <w:color w:val="2B2B2B"/>
          <w:sz w:val="22"/>
        </w:rPr>
        <w:t>fijan sus propias metas antes de medir</w:t>
      </w:r>
      <w:r>
        <w:rPr>
          <w:rFonts w:ascii="Calibri" w:hAnsi="Calibri"/>
          <w:b w:val="0"/>
          <w:color w:val="2B2B2B"/>
          <w:sz w:val="22"/>
        </w:rPr>
        <w:t xml:space="preserve"> —AUC &gt; 0,75 y recall ≥ 70 % (p. 28)—, que es lo que hace falsable el trabajo. Baja de 5 porque la hipótesis 1 (la de ablación) no se contrasta en ninguna página, y porque la declaración de originalidad dice «Especialización en Analítica de Datos» (p. 16).</w:t>
      </w:r>
    </w:p>
    <w:p>
      <w:r>
        <w:rPr>
          <w:rFonts w:ascii="Calibri" w:hAnsi="Calibri"/>
          <w:b/>
          <w:color w:val="2B2B2B"/>
          <w:sz w:val="22"/>
        </w:rPr>
        <w:t>2. Marco teórico y referentes conceptuales</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Solidez del sustento teórico del proyecto, la pertinencia y actualidad de las fuentes consultadas, y la capacidad de articular conceptos, enfoques y antecedentes que fundamenten adecuadamente la investigación.</w:t>
      </w:r>
    </w:p>
    <w:p>
      <w:r>
        <w:rPr>
          <w:rFonts w:ascii="Calibri" w:hAnsi="Calibri"/>
          <w:b w:val="0"/>
          <w:color w:val="2B2B2B"/>
          <w:sz w:val="22"/>
        </w:rPr>
        <w:t xml:space="preserve">El encuadre de dominio es correcto (SAIDI, SAIFI, ENS) y el trabajo demuestra entender el problema de fuga de información. Se queda en 3 porque CRISP-DM, que estructura el discurso de las diapositivas, </w:t>
      </w:r>
      <w:r>
        <w:rPr>
          <w:rFonts w:ascii="Calibri" w:hAnsi="Calibri"/>
          <w:b/>
          <w:color w:val="2B2B2B"/>
          <w:sz w:val="22"/>
        </w:rPr>
        <w:t>no aparece en el documento</w:t>
      </w:r>
      <w:r>
        <w:rPr>
          <w:rFonts w:ascii="Calibri" w:hAnsi="Calibri"/>
          <w:b w:val="0"/>
          <w:color w:val="2B2B2B"/>
          <w:sz w:val="22"/>
        </w:rPr>
        <w:t>, y porque no hay referente que respalde la matriz multicriterio con la que se elige el modelo.</w:t>
      </w:r>
    </w:p>
    <w:p>
      <w:r>
        <w:rPr>
          <w:rFonts w:ascii="Calibri" w:hAnsi="Calibri"/>
          <w:b/>
          <w:color w:val="2B2B2B"/>
          <w:sz w:val="22"/>
        </w:rPr>
        <w:t>3. Metodología, muestra y coherencia del diseño</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Correspondencia entre el enfoque metodológico, el tipo de estudio, las técnicas e instrumentos de recolección de información y la definición de la muestra, garantizando la coherencia interna del diseño investigativo.</w:t>
      </w:r>
    </w:p>
    <w:p>
      <w:r>
        <w:rPr>
          <w:rFonts w:ascii="Calibri" w:hAnsi="Calibri"/>
          <w:b w:val="0"/>
          <w:color w:val="2B2B2B"/>
          <w:sz w:val="22"/>
        </w:rPr>
        <w:t xml:space="preserve">Contiene la mejor decisión metodológica del cohorte en términos de aprendizaje automático: el </w:t>
      </w:r>
      <w:r>
        <w:rPr>
          <w:rFonts w:ascii="Calibri" w:hAnsi="Calibri"/>
          <w:b/>
          <w:color w:val="2B2B2B"/>
          <w:sz w:val="22"/>
        </w:rPr>
        <w:t>panel activo-semana</w:t>
      </w:r>
      <w:r>
        <w:rPr>
          <w:rFonts w:ascii="Calibri" w:hAnsi="Calibri"/>
          <w:b w:val="0"/>
          <w:color w:val="2B2B2B"/>
          <w:sz w:val="22"/>
        </w:rPr>
        <w:t xml:space="preserve"> para construir la clase negativa (pp. 48, 95) y la </w:t>
      </w:r>
      <w:r>
        <w:rPr>
          <w:rFonts w:ascii="Calibri" w:hAnsi="Calibri"/>
          <w:b/>
          <w:color w:val="2B2B2B"/>
          <w:sz w:val="22"/>
        </w:rPr>
        <w:t>exclusión explícita por fuga</w:t>
      </w:r>
      <w:r>
        <w:rPr>
          <w:rFonts w:ascii="Calibri" w:hAnsi="Calibri"/>
          <w:b w:val="0"/>
          <w:color w:val="2B2B2B"/>
          <w:sz w:val="22"/>
        </w:rPr>
        <w:t xml:space="preserve"> de duración, usuarios, ENS, SAIDI y SAIFI (pp. 49, 96), con partición temporal 6.409.824 / 1.003.200. Lo que impide más de 3 es el material sobre el que corre: </w:t>
      </w:r>
      <w:r>
        <w:rPr>
          <w:rFonts w:ascii="Calibri" w:hAnsi="Calibri"/>
          <w:b/>
          <w:color w:val="2B2B2B"/>
          <w:sz w:val="22"/>
        </w:rPr>
        <w:t>todo el análisis usa un conjunto sintético</w:t>
      </w:r>
      <w:r>
        <w:rPr>
          <w:rFonts w:ascii="Calibri" w:hAnsi="Calibri"/>
          <w:b w:val="0"/>
          <w:color w:val="2B2B2B"/>
          <w:sz w:val="22"/>
        </w:rPr>
        <w:t xml:space="preserve"> (pp. 12, 14, 112) mientras las pp. 45 y 52 hablan de «datos históricos reales» y «datos oficiales corporativos», y las diapositivas 7 y 10 declaran 87.500 eventos históricos y 600.000 usuarios de CENS sin el matiz. Añádase el desbalance reportado como 18 % (p. 49) frente al 1,13 % que sale de los propios conteos, y los pesos de la matriz de 11 criterios sin publicar.</w:t>
      </w:r>
    </w:p>
    <w:p>
      <w:r>
        <w:rPr>
          <w:rFonts w:ascii="Calibri" w:hAnsi="Calibri"/>
          <w:b/>
          <w:color w:val="2B2B2B"/>
          <w:sz w:val="22"/>
        </w:rPr>
        <w:t>4. Resultados y conclusiones</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Calidad en la presentación, interpretación y análisis de los resultados obtenidos, así como la consistencia y pertinencia de las conclusiones en relación con los objetivos, la problemática y el marco teórico del estudio.</w:t>
      </w:r>
    </w:p>
    <w:p>
      <w:r>
        <w:rPr>
          <w:rFonts w:ascii="Calibri" w:hAnsi="Calibri"/>
          <w:b w:val="0"/>
          <w:color w:val="2B2B2B"/>
          <w:sz w:val="22"/>
        </w:rPr>
        <w:t xml:space="preserve">La comparación de modelos está bien ejecutada y las métricas se reportan sin maquillaje: ROC-AUC 0,594 / 0,605 / 0,616, PR-AUC máximo 0,053, recall máximo 0,297, con SHAP sobre 5.000 registros. Pero </w:t>
      </w:r>
      <w:r>
        <w:rPr>
          <w:rFonts w:ascii="Calibri" w:hAnsi="Calibri"/>
          <w:b/>
          <w:color w:val="2B2B2B"/>
          <w:sz w:val="22"/>
        </w:rPr>
        <w:t>las metas propias de la p. 28 no se alcanzan y las conclusiones no las confrontan</w:t>
      </w:r>
      <w:r>
        <w:rPr>
          <w:rFonts w:ascii="Calibri" w:hAnsi="Calibri"/>
          <w:b w:val="0"/>
          <w:color w:val="2B2B2B"/>
          <w:sz w:val="22"/>
        </w:rPr>
        <w:t xml:space="preserve"> (p. 97): un trabajo que se fija un umbral y luego no lo menciona pierde justo lo que había ganado. Los umbrales de decisión distintos por modelo (0,60 / 0,57 / 0,05) hacen precisión y F1 no comparables entre sí, y del prototipo Streamlit declarado tres veces (pp. 71, 112, diap. 13) no hay ni una captura entre las 16 figuras.</w:t>
      </w:r>
    </w:p>
    <w:p>
      <w:r>
        <w:rPr>
          <w:rFonts w:ascii="Calibri" w:hAnsi="Calibri"/>
          <w:b/>
          <w:color w:val="2B2B2B"/>
          <w:sz w:val="22"/>
        </w:rPr>
        <w:t>5. Pertinencia disciplinar y articulación con la especialización</w:t>
      </w:r>
      <w:r>
        <w:rPr>
          <w:rFonts w:ascii="Calibri" w:hAnsi="Calibri"/>
          <w:b w:val="0"/>
          <w:color w:val="2B2B2B"/>
          <w:sz w:val="22"/>
        </w:rPr>
        <w:t xml:space="preserve"> — propuesto </w:t>
      </w:r>
      <w:r>
        <w:rPr>
          <w:rFonts w:ascii="Calibri" w:hAnsi="Calibri"/>
          <w:b/>
          <w:color w:val="2B2B2B"/>
          <w:sz w:val="22"/>
        </w:rPr>
        <w:t>4</w:t>
      </w:r>
      <w:r>
        <w:rPr>
          <w:rFonts w:ascii="Calibri" w:hAnsi="Calibri"/>
          <w:b w:val="0"/>
          <w:color w:val="2B2B2B"/>
          <w:sz w:val="22"/>
        </w:rPr>
        <w:t xml:space="preserve"> / 5</w:t>
      </w:r>
    </w:p>
    <w:p>
      <w:pPr>
        <w:ind w:left="432"/>
        <w:shd w:val="clear" w:fill="E8F5EC"/>
      </w:pPr>
      <w:r>
        <w:rPr>
          <w:rFonts w:ascii="Calibri" w:hAnsi="Calibri"/>
          <w:b w:val="0"/>
          <w:i/>
          <w:color w:val="2B2B2B"/>
          <w:sz w:val="21"/>
        </w:rPr>
        <w:t>Grado de alineación del proyecto con el campo disciplinar y los énfasis de la especialización cursada, así como su aporte potencial al desarrollo académico, profesional o investigativo del área.</w:t>
      </w:r>
    </w:p>
    <w:p>
      <w:r>
        <w:rPr>
          <w:rFonts w:ascii="Calibri" w:hAnsi="Calibri"/>
          <w:b w:val="0"/>
          <w:color w:val="2B2B2B"/>
          <w:sz w:val="22"/>
        </w:rPr>
        <w:t>Analítica predictiva sobre la integración SCADA-OMS-GIS de una distribuidora eléctrica: el dominio es exigente y el aporte potencial es claro si se corre sobre datos reales. No llega a 5 porque sin acceso a los sistemas productivos el aporte se queda en el método, y porque la propia declaración de originalidad ubica el trabajo en otro programa (p. 16).</w:t>
      </w:r>
    </w:p>
    <w:p>
      <w:r>
        <w:rPr>
          <w:rFonts w:ascii="Calibri" w:hAnsi="Calibri"/>
          <w:b/>
          <w:color w:val="2B2B2B"/>
          <w:sz w:val="22"/>
        </w:rPr>
        <w:t>Suma propuesta: 17 / 25.</w:t>
      </w:r>
    </w:p>
    <w:p>
      <w:r>
        <w:rPr>
          <w:rFonts w:ascii="Calibri" w:hAnsi="Calibri"/>
          <w:b/>
          <w:color w:val="2B2B2B"/>
          <w:sz w:val="22"/>
        </w:rPr>
        <w:t>Qué subiría una casilla en sala:</w:t>
      </w:r>
      <w:r>
        <w:rPr>
          <w:rFonts w:ascii="Calibri" w:hAnsi="Calibri"/>
          <w:b w:val="0"/>
          <w:color w:val="2B2B2B"/>
          <w:sz w:val="22"/>
        </w:rPr>
        <w:t xml:space="preserve"> El </w:t>
      </w:r>
      <w:r>
        <w:rPr>
          <w:rFonts w:ascii="Calibri" w:hAnsi="Calibri"/>
          <w:b/>
          <w:color w:val="2B2B2B"/>
          <w:sz w:val="22"/>
        </w:rPr>
        <w:t>criterio 4 pasa a 4</w:t>
      </w:r>
      <w:r>
        <w:rPr>
          <w:rFonts w:ascii="Calibri" w:hAnsi="Calibri"/>
          <w:b w:val="0"/>
          <w:color w:val="2B2B2B"/>
          <w:sz w:val="22"/>
        </w:rPr>
        <w:t xml:space="preserve"> si ellos mismos ponen sobre la mesa la distancia entre el AUC 0,616 y la meta de 0,75 y hacen una lectura técnica de por qué (pregunta prioritaria 2). El </w:t>
      </w:r>
      <w:r>
        <w:rPr>
          <w:rFonts w:ascii="Calibri" w:hAnsi="Calibri"/>
          <w:b/>
          <w:color w:val="2B2B2B"/>
          <w:sz w:val="22"/>
        </w:rPr>
        <w:t>criterio 3 pasa a 4</w:t>
      </w:r>
      <w:r>
        <w:rPr>
          <w:rFonts w:ascii="Calibri" w:hAnsi="Calibri"/>
          <w:b w:val="0"/>
          <w:color w:val="2B2B2B"/>
          <w:sz w:val="22"/>
        </w:rPr>
        <w:t xml:space="preserve"> si explican cómo generaron el conjunto sintético y qué de lo que concluyen sigue en pie sabiendo que los patrones los pusieron ellos (pregunta 1) — mejor todavía si lo aclaran de entrada, sin que nadie lo pregunte.</w:t>
      </w:r>
    </w:p>
    <w:p>
      <w:r>
        <w:rPr>
          <w:rFonts w:ascii="Calibri" w:hAnsi="Calibri"/>
          <w:b/>
          <w:color w:val="2B2B2B"/>
          <w:sz w:val="22"/>
        </w:rPr>
        <w:t>Qué la bajaría:</w:t>
      </w:r>
      <w:r>
        <w:rPr>
          <w:rFonts w:ascii="Calibri" w:hAnsi="Calibri"/>
          <w:b w:val="0"/>
          <w:color w:val="2B2B2B"/>
          <w:sz w:val="22"/>
        </w:rPr>
        <w:t xml:space="preserve"> El </w:t>
      </w:r>
      <w:r>
        <w:rPr>
          <w:rFonts w:ascii="Calibri" w:hAnsi="Calibri"/>
          <w:b/>
          <w:color w:val="2B2B2B"/>
          <w:sz w:val="22"/>
        </w:rPr>
        <w:t>criterio 3 baja a 2</w:t>
      </w:r>
      <w:r>
        <w:rPr>
          <w:rFonts w:ascii="Calibri" w:hAnsi="Calibri"/>
          <w:b w:val="0"/>
          <w:color w:val="2B2B2B"/>
          <w:sz w:val="22"/>
        </w:rPr>
        <w:t xml:space="preserve"> si sostienen en sala los 87.500 eventos históricos y los 600.000 usuarios de CENS como datos reales. El </w:t>
      </w:r>
      <w:r>
        <w:rPr>
          <w:rFonts w:ascii="Calibri" w:hAnsi="Calibri"/>
          <w:b/>
          <w:color w:val="2B2B2B"/>
          <w:sz w:val="22"/>
        </w:rPr>
        <w:t>criterio 4 baja a 2</w:t>
      </w:r>
      <w:r>
        <w:rPr>
          <w:rFonts w:ascii="Calibri" w:hAnsi="Calibri"/>
          <w:b w:val="0"/>
          <w:color w:val="2B2B2B"/>
          <w:sz w:val="22"/>
        </w:rPr>
        <w:t xml:space="preserve"> si presentan el 0,616 como resultado satisfactorio o describen el tablero Streamlit sin poder decir si corre hoy (pregunta 3).</w:t>
      </w:r>
    </w:p>
    <w:p>
      <w:pPr>
        <w:spacing w:before="200" w:after="60"/>
      </w:pPr>
      <w:r>
        <w:rPr>
          <w:rFonts w:ascii="Calibri" w:hAnsi="Calibri"/>
          <w:b/>
          <w:color w:val="007433"/>
          <w:sz w:val="32"/>
        </w:rPr>
        <w:t>9. Observaciones administrativas (no académicas)</w:t>
      </w:r>
    </w:p>
    <w:p>
      <w:pPr>
        <w:pStyle w:val="ListBullet"/>
      </w:pPr>
      <w:r>
        <w:rPr>
          <w:rFonts w:ascii="Calibri" w:hAnsi="Calibri"/>
          <w:b/>
          <w:color w:val="2B2B2B"/>
          <w:sz w:val="22"/>
        </w:rPr>
        <w:t>Equipo de 2 integrantes.</w:t>
      </w:r>
      <w:r>
        <w:rPr>
          <w:rFonts w:ascii="Calibri" w:hAnsi="Calibri"/>
          <w:b w:val="0"/>
          <w:color w:val="2B2B2B"/>
          <w:sz w:val="22"/>
        </w:rPr>
        <w:t xml:space="preserve"> Dentro del máximo de 3. Sin observación.</w:t>
      </w:r>
    </w:p>
    <w:p>
      <w:pPr>
        <w:pStyle w:val="ListBullet"/>
      </w:pPr>
      <w:r>
        <w:rPr>
          <w:rFonts w:ascii="Calibri" w:hAnsi="Calibri"/>
          <w:b/>
          <w:color w:val="2B2B2B"/>
          <w:sz w:val="22"/>
        </w:rPr>
        <w:t>Nombres del cronograma verificados</w:t>
      </w:r>
      <w:r>
        <w:rPr>
          <w:rFonts w:ascii="Calibri" w:hAnsi="Calibri"/>
          <w:b w:val="0"/>
          <w:color w:val="2B2B2B"/>
          <w:sz w:val="22"/>
        </w:rPr>
        <w:t xml:space="preserve"> contra la portada (p. 1) y la diapositiva 1: los dos coinciden (Edward Alexis Orduz Rodríguez y Ángel David Ortiz Rivera). Sin novedad. Precisión: los correos institucionales </w:t>
      </w:r>
      <w:r>
        <w:rPr>
          <w:rFonts w:ascii="Calibri" w:hAnsi="Calibri"/>
          <w:b/>
          <w:color w:val="2B2B2B"/>
          <w:sz w:val="22"/>
        </w:rPr>
        <w:t>no aparecen</w:t>
      </w:r>
      <w:r>
        <w:rPr>
          <w:rFonts w:ascii="Calibri" w:hAnsi="Calibri"/>
          <w:b w:val="0"/>
          <w:color w:val="2B2B2B"/>
          <w:sz w:val="22"/>
        </w:rPr>
        <w:t xml:space="preserve"> ni en la portada ni en la diapositiva 1, así que ese cotejo no puede hacerse contra estos dos documentos.</w:t>
      </w:r>
    </w:p>
    <w:p>
      <w:pPr>
        <w:pStyle w:val="ListBullet"/>
      </w:pPr>
      <w:r>
        <w:rPr>
          <w:rFonts w:ascii="Calibri" w:hAnsi="Calibri"/>
          <w:b/>
          <w:color w:val="2B2B2B"/>
          <w:sz w:val="22"/>
        </w:rPr>
        <w:t>Documento de originalidad con el programa equivocado:</w:t>
      </w:r>
      <w:r>
        <w:rPr>
          <w:rFonts w:ascii="Calibri" w:hAnsi="Calibri"/>
          <w:b w:val="0"/>
          <w:color w:val="2B2B2B"/>
          <w:sz w:val="22"/>
        </w:rPr>
        <w:t xml:space="preserve"> la p. 16 dice «Especialización en </w:t>
      </w:r>
      <w:r>
        <w:rPr>
          <w:rFonts w:ascii="Calibri" w:hAnsi="Calibri"/>
          <w:b/>
          <w:color w:val="2B2B2B"/>
          <w:sz w:val="22"/>
        </w:rPr>
        <w:t>Analítica de Datos</w:t>
      </w:r>
      <w:r>
        <w:rPr>
          <w:rFonts w:ascii="Calibri" w:hAnsi="Calibri"/>
          <w:b w:val="0"/>
          <w:color w:val="2B2B2B"/>
          <w:sz w:val="22"/>
        </w:rPr>
        <w:t>» y el trabajo es de Especialización en Transformación Digital (portada, p. 1). Corrección de forma para la Dirección del Programa; no afecta la nota.</w:t>
      </w:r>
    </w:p>
    <w:p>
      <w:pPr>
        <w:pStyle w:val="ListBullet"/>
      </w:pPr>
      <w:r>
        <w:rPr>
          <w:rFonts w:ascii="Calibri" w:hAnsi="Calibri"/>
          <w:b/>
          <w:color w:val="2B2B2B"/>
          <w:sz w:val="22"/>
        </w:rPr>
        <w:t>Firma fechada «Cúcuta, agosto de 2026»</w:t>
      </w:r>
      <w:r>
        <w:rPr>
          <w:rFonts w:ascii="Calibri" w:hAnsi="Calibri"/>
          <w:b w:val="0"/>
          <w:color w:val="2B2B2B"/>
          <w:sz w:val="22"/>
        </w:rPr>
        <w:t xml:space="preserve"> (pp. 16-17), consistente con el periodo. </w:t>
      </w:r>
      <w:r>
        <w:rPr>
          <w:rFonts w:ascii="Calibri" w:hAnsi="Calibri"/>
          <w:b/>
          <w:color w:val="2B2B2B"/>
          <w:sz w:val="22"/>
        </w:rPr>
        <w:t>Y las declaraciones sí están firmadas:</w:t>
      </w:r>
      <w:r>
        <w:rPr>
          <w:rFonts w:ascii="Calibri" w:hAnsi="Calibri"/>
          <w:b w:val="0"/>
          <w:color w:val="2B2B2B"/>
          <w:sz w:val="22"/>
        </w:rPr>
        <w:t xml:space="preserve"> las pp. 16 y 17 traen cada una dos imágenes de firma manuscrita escaneada (los mismos dos archivos en ambas páginas); abiertas, son rúbricas a mano y en una se lee «Angel D. Ortiz». El texto extraído no las muestra porque son imágenes, no texto: no hay observación administrativa que hacer por este punto.</w:t>
      </w:r>
    </w:p>
    <w:p>
      <w:pPr>
        <w:pStyle w:val="ListBullet"/>
      </w:pPr>
      <w:r>
        <w:rPr>
          <w:rFonts w:ascii="Calibri" w:hAnsi="Calibri"/>
          <w:b/>
          <w:color w:val="2B2B2B"/>
          <w:sz w:val="22"/>
        </w:rPr>
        <w:t>No hay reporte de similitud ni informe antiplagio</w:t>
      </w:r>
      <w:r>
        <w:rPr>
          <w:rFonts w:ascii="Calibri" w:hAnsi="Calibri"/>
          <w:b w:val="0"/>
          <w:color w:val="2B2B2B"/>
          <w:sz w:val="22"/>
        </w:rPr>
        <w:t xml:space="preserve"> en la carpeta del grupo ni en el documento (la carpeta </w:t>
      </w:r>
      <w:r>
        <w:rPr>
          <w:rFonts w:ascii="Consolas" w:hAnsi="Consolas"/>
          <w:color w:val="111111"/>
          <w:sz w:val="21"/>
        </w:rPr>
        <w:t>26ET2-G-005</w:t>
      </w:r>
      <w:r>
        <w:rPr>
          <w:rFonts w:ascii="Calibri" w:hAnsi="Calibri"/>
          <w:b w:val="0"/>
          <w:color w:val="2B2B2B"/>
          <w:sz w:val="22"/>
        </w:rPr>
        <w:t xml:space="preserve"> contiene exactamente dos archivos, </w:t>
      </w:r>
      <w:r>
        <w:rPr>
          <w:rFonts w:ascii="Consolas" w:hAnsi="Consolas"/>
          <w:color w:val="111111"/>
          <w:sz w:val="21"/>
        </w:rPr>
        <w:t>Proyecto final.pdf</w:t>
      </w:r>
      <w:r>
        <w:rPr>
          <w:rFonts w:ascii="Calibri" w:hAnsi="Calibri"/>
          <w:b w:val="0"/>
          <w:color w:val="2B2B2B"/>
          <w:sz w:val="22"/>
        </w:rPr>
        <w:t xml:space="preserve"> y </w:t>
      </w:r>
      <w:r>
        <w:rPr>
          <w:rFonts w:ascii="Consolas" w:hAnsi="Consolas"/>
          <w:color w:val="111111"/>
          <w:sz w:val="21"/>
        </w:rPr>
        <w:t>Sustentación proyecto de grado.pdf</w:t>
      </w:r>
      <w:r>
        <w:rPr>
          <w:rFonts w:ascii="Calibri" w:hAnsi="Calibri"/>
          <w:b w:val="0"/>
          <w:color w:val="2B2B2B"/>
          <w:sz w:val="22"/>
        </w:rPr>
        <w:t xml:space="preserve">; buscado además en Preliminares, pp. 16-17, y en el texto completo). Vale plantearlo al director del programa </w:t>
      </w:r>
      <w:r>
        <w:rPr>
          <w:rFonts w:ascii="Calibri" w:hAnsi="Calibri"/>
          <w:b/>
          <w:color w:val="2B2B2B"/>
          <w:sz w:val="22"/>
        </w:rPr>
        <w:t>antes de la sala</w:t>
      </w:r>
      <w:r>
        <w:rPr>
          <w:rFonts w:ascii="Calibri" w:hAnsi="Calibri"/>
          <w:b w:val="0"/>
          <w:color w:val="2B2B2B"/>
          <w:sz w:val="22"/>
        </w:rPr>
        <w:t>, no en la sustentación: si la Dirección ya lo tiene, no es un hallazgo; si no, es un requisito de la rúbrica de integridad (15 %) que no puedo verificar como jurado.</w:t>
      </w:r>
    </w:p>
    <w:p>
      <w:pPr>
        <w:pStyle w:val="ListBullet"/>
      </w:pPr>
      <w:r>
        <w:rPr>
          <w:rFonts w:ascii="Calibri" w:hAnsi="Calibri"/>
          <w:b/>
          <w:color w:val="2B2B2B"/>
          <w:sz w:val="22"/>
        </w:rPr>
        <w:t>Punto que conviene acordar con la moderadora antes de empezar:</w:t>
      </w:r>
      <w:r>
        <w:rPr>
          <w:rFonts w:ascii="Calibri" w:hAnsi="Calibri"/>
          <w:b w:val="0"/>
          <w:color w:val="2B2B2B"/>
          <w:sz w:val="22"/>
        </w:rPr>
        <w:t xml:space="preserve"> cómo se va a tratar en sala el hecho de que la presentación no declare el carácter sintético del conjunto. Lo natural es que la Dirección lo pida al inicio o que el grupo lo aclare motu proprio; convertirlo en un «pillado» del jurado sería injusto con un grupo que lo declaró por escrito en tres lugares del documento.</w:t>
      </w:r>
    </w:p>
    <w:p>
      <w:pPr>
        <w:pStyle w:val="ListBullet"/>
      </w:pPr>
      <w:r>
        <w:rPr>
          <w:rFonts w:ascii="Calibri" w:hAnsi="Calibri"/>
          <w:b/>
          <w:color w:val="2B2B2B"/>
          <w:sz w:val="22"/>
        </w:rPr>
        <w:t>Referencias con fecha 2026</w:t>
      </w:r>
      <w:r>
        <w:rPr>
          <w:rFonts w:ascii="Calibri" w:hAnsi="Calibri"/>
          <w:b w:val="0"/>
          <w:color w:val="2B2B2B"/>
          <w:sz w:val="22"/>
        </w:rPr>
        <w:t xml:space="preserve"> (MinTIC, SSPD, PowerOutage.us, USA Today, Wikipedia; pp. 114-115): consistentes con el periodo, pero tres de ellas no son fuentes académicas. Observación de forma.</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