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26ET2-G-006 — Diseño e implementación de un sistema web inteligente de licitaciones para la optimización y transformación digital del proceso de compras en la empresa AGROINDUSTRIAL DE PALMA ACEITERA SA</w:t>
      </w:r>
    </w:p>
    <w:p>
      <w:r>
        <w:rPr>
          <w:rFonts w:ascii="Calibri" w:hAnsi="Calibri"/>
          <w:b/>
          <w:color w:val="2B2B2B"/>
          <w:sz w:val="22"/>
        </w:rPr>
        <w:t>Sustentación:</w:t>
      </w:r>
      <w:r>
        <w:rPr>
          <w:rFonts w:ascii="Calibri" w:hAnsi="Calibri"/>
          <w:b w:val="0"/>
          <w:color w:val="2B2B2B"/>
          <w:sz w:val="22"/>
        </w:rPr>
        <w:t xml:space="preserve"> martes 18 de agosto de 2026 · 7:40 p. m. – 8:00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Edwin Vivas Soto (edwin.vivas@cun.edu.co) · Ingrid Johanna Romero Lázaro (ingrid.romerola@cun.edu.co) · Jimmy Leandro Calderón Rubio (jimmy.calderon@cun.edu.co)</w:t>
      </w:r>
    </w:p>
    <w:p>
      <w:r>
        <w:rPr>
          <w:rFonts w:ascii="Calibri" w:hAnsi="Calibri"/>
          <w:b/>
          <w:color w:val="2B2B2B"/>
          <w:sz w:val="22"/>
        </w:rPr>
        <w:t>Docente asesora:</w:t>
      </w:r>
      <w:r>
        <w:rPr>
          <w:rFonts w:ascii="Calibri" w:hAnsi="Calibri"/>
          <w:b w:val="0"/>
          <w:color w:val="2B2B2B"/>
          <w:sz w:val="22"/>
        </w:rPr>
        <w:t xml:space="preserve"> María Fernanda Rivera Sanclemente — así la acredita la p. 1; que además sea la moderadora de la sesión sale del cronograma de sustentaciones, no de este PDF</w:t>
      </w:r>
    </w:p>
    <w:p>
      <w:r>
        <w:rPr>
          <w:rFonts w:ascii="Calibri" w:hAnsi="Calibri"/>
          <w:b/>
          <w:color w:val="2B2B2B"/>
          <w:sz w:val="22"/>
        </w:rPr>
        <w:t>Línea:</w:t>
      </w:r>
      <w:r>
        <w:rPr>
          <w:rFonts w:ascii="Calibri" w:hAnsi="Calibri"/>
          <w:b w:val="0"/>
          <w:color w:val="2B2B2B"/>
          <w:sz w:val="22"/>
        </w:rPr>
        <w:t xml:space="preserve"> Gestión y Tecnologías (portada, p. 1; el cronograma la registra en singular, «Gestión y Tecnología»)</w:t>
      </w:r>
    </w:p>
    <w:p>
      <w:r>
        <w:rPr>
          <w:rFonts w:ascii="Calibri" w:hAnsi="Calibri"/>
          <w:b/>
          <w:color w:val="2B2B2B"/>
          <w:sz w:val="22"/>
        </w:rPr>
        <w:t>Documentos leídos:</w:t>
      </w:r>
    </w:p>
    <w:p>
      <w:pPr>
        <w:pStyle w:val="ListBullet"/>
      </w:pPr>
      <w:r>
        <w:rPr>
          <w:rFonts w:ascii="Consolas" w:hAnsi="Consolas"/>
          <w:color w:val="111111"/>
          <w:sz w:val="21"/>
        </w:rPr>
        <w:t>Proyecto II - Sistema de licitaciones-Edwin Vivas-Ingrid Romero-Jimmy Calderon- vf.pdf</w:t>
      </w:r>
      <w:r>
        <w:rPr>
          <w:rFonts w:ascii="Calibri" w:hAnsi="Calibri"/>
          <w:b w:val="0"/>
          <w:color w:val="2B2B2B"/>
          <w:sz w:val="22"/>
        </w:rPr>
        <w:t xml:space="preserve"> — </w:t>
      </w:r>
      <w:r>
        <w:rPr>
          <w:rFonts w:ascii="Calibri" w:hAnsi="Calibri"/>
          <w:b/>
          <w:color w:val="2B2B2B"/>
          <w:sz w:val="22"/>
        </w:rPr>
        <w:t>249 páginas</w:t>
      </w:r>
      <w:r>
        <w:rPr>
          <w:rFonts w:ascii="Calibri" w:hAnsi="Calibri"/>
          <w:b w:val="0"/>
          <w:color w:val="2B2B2B"/>
          <w:sz w:val="22"/>
        </w:rPr>
        <w:t>. Es la única versión del trabajo en la carpeta y viene marcada «vf». Todas las citas «(p. N)» de esta ficha son de este archivo salvo que se indique «(diap. N)».</w:t>
      </w:r>
    </w:p>
    <w:p>
      <w:pPr>
        <w:pStyle w:val="ListBullet"/>
      </w:pPr>
      <w:r>
        <w:rPr>
          <w:rFonts w:ascii="Consolas" w:hAnsi="Consolas"/>
          <w:color w:val="111111"/>
          <w:sz w:val="21"/>
        </w:rPr>
        <w:t>Proyecto II - Sistema Licitaciones Web.pdf</w:t>
      </w:r>
      <w:r>
        <w:rPr>
          <w:rFonts w:ascii="Calibri" w:hAnsi="Calibri"/>
          <w:b w:val="0"/>
          <w:color w:val="2B2B2B"/>
          <w:sz w:val="22"/>
        </w:rPr>
        <w:t xml:space="preserve"> — </w:t>
      </w:r>
      <w:r>
        <w:rPr>
          <w:rFonts w:ascii="Calibri" w:hAnsi="Calibri"/>
          <w:b/>
          <w:color w:val="2B2B2B"/>
          <w:sz w:val="22"/>
        </w:rPr>
        <w:t>16 diapositivas</w:t>
      </w:r>
      <w:r>
        <w:rPr>
          <w:rFonts w:ascii="Calibri" w:hAnsi="Calibri"/>
          <w:b w:val="0"/>
          <w:color w:val="2B2B2B"/>
          <w:sz w:val="22"/>
        </w:rPr>
        <w:t xml:space="preserve"> (la presentación de sustentación).</w:t>
      </w:r>
    </w:p>
    <w:p>
      <w:pPr>
        <w:spacing w:before="200" w:after="60"/>
      </w:pPr>
      <w:r>
        <w:rPr>
          <w:rFonts w:ascii="Calibri" w:hAnsi="Calibri"/>
          <w:b/>
          <w:color w:val="007433"/>
          <w:sz w:val="32"/>
        </w:rPr>
        <w:t>1. Resumen para leer en 5 minutos</w:t>
      </w:r>
    </w:p>
    <w:p>
      <w:r>
        <w:rPr>
          <w:rFonts w:ascii="Calibri" w:hAnsi="Calibri"/>
          <w:b w:val="0"/>
          <w:color w:val="2B2B2B"/>
          <w:sz w:val="22"/>
        </w:rPr>
        <w:t>Agroindustrial de Palma Aceitera S.A. licita sus compras a mano: invitaciones enviadas una por una, ofertas recibidas por correo, consolidación en Excel, evaluación multicriterio y ranking manuales; ciclo de 10 a 15 días, carga alta sobre cinco colaboradores, sin trazabilidad ni indicadores automáticos (pp. 22-23). La escala del problema está cuantificada: 25 categorías promedio y unos 7.241 productos por licitación (p. 93). La pregunta es cómo un sistema web basado en BPM y evaluación multicriterio optimiza ese proceso reduciendo tiempos y mejorando trazabilidad (p. 23).</w:t>
      </w:r>
    </w:p>
    <w:p>
      <w:r>
        <w:rPr>
          <w:rFonts w:ascii="Calibri" w:hAnsi="Calibri"/>
          <w:b/>
          <w:color w:val="2B2B2B"/>
          <w:sz w:val="22"/>
        </w:rPr>
        <w:t>Método.</w:t>
      </w:r>
      <w:r>
        <w:rPr>
          <w:rFonts w:ascii="Calibri" w:hAnsi="Calibri"/>
          <w:b w:val="0"/>
          <w:color w:val="2B2B2B"/>
          <w:sz w:val="22"/>
        </w:rPr>
        <w:t xml:space="preserve"> Enfoque mixto (p. 64), censo del 100 % de la población: «seis (6) funcionarios del área de compras» (p. 74; el desglose —5 analistas de compras y 1 directora administrativa— está en la p. 93, repetido en la p. 229). Ojo: la p. 74 llama </w:t>
      </w:r>
      <w:r>
        <w:rPr>
          <w:rFonts w:ascii="Calibri" w:hAnsi="Calibri"/>
          <w:b/>
          <w:color w:val="2B2B2B"/>
          <w:sz w:val="22"/>
        </w:rPr>
        <w:t>censo</w:t>
      </w:r>
      <w:r>
        <w:rPr>
          <w:rFonts w:ascii="Calibri" w:hAnsi="Calibri"/>
          <w:b w:val="0"/>
          <w:color w:val="2B2B2B"/>
          <w:sz w:val="22"/>
        </w:rPr>
        <w:t xml:space="preserve"> al diseño y la p. 81 lo llama </w:t>
      </w:r>
      <w:r>
        <w:rPr>
          <w:rFonts w:ascii="Calibri" w:hAnsi="Calibri"/>
          <w:b/>
          <w:color w:val="2B2B2B"/>
          <w:sz w:val="22"/>
        </w:rPr>
        <w:t>muestreo intencional</w:t>
      </w:r>
      <w:r>
        <w:rPr>
          <w:rFonts w:ascii="Calibri" w:hAnsi="Calibri"/>
          <w:b w:val="0"/>
          <w:color w:val="2B2B2B"/>
          <w:sz w:val="22"/>
        </w:rPr>
        <w:t>. Instrumentos: entrevista semiestructurada aplicada a E1-E6 (guía y aplicación en la p. 80; los códigos E1-E6, Tabla 3, en la p. 81), observación directa con registro cronológico de 16 actividades con tiempos (pp. 97-99), revisión documental (p. 105). Marcos integrados: PMBOK, SCRUM, BPM y ADKAR (p. 65), desplegados en siete fases con productos por objetivo (pp. 72-74).</w:t>
      </w:r>
    </w:p>
    <w:p>
      <w:r>
        <w:rPr>
          <w:rFonts w:ascii="Calibri" w:hAnsi="Calibri"/>
          <w:b/>
          <w:color w:val="2B2B2B"/>
          <w:sz w:val="22"/>
        </w:rPr>
        <w:t>Diagnóstico.</w:t>
      </w:r>
      <w:r>
        <w:rPr>
          <w:rFonts w:ascii="Calibri" w:hAnsi="Calibri"/>
          <w:b w:val="0"/>
          <w:color w:val="2B2B2B"/>
          <w:sz w:val="22"/>
        </w:rPr>
        <w:t xml:space="preserve"> El 50 % de las propuestas llegaba con error manual; consolidación y evaluación tomaban unas 32 horas y el ciclo completo unos 12,5 días (p. 100). Consolidar y evaluar es el cuello de botella declarado (p. 103).</w:t>
      </w:r>
    </w:p>
    <w:p>
      <w:r>
        <w:rPr>
          <w:rFonts w:ascii="Calibri" w:hAnsi="Calibri"/>
          <w:b/>
          <w:color w:val="2B2B2B"/>
          <w:sz w:val="22"/>
        </w:rPr>
        <w:t>Producto.</w:t>
      </w:r>
      <w:r>
        <w:rPr>
          <w:rFonts w:ascii="Calibri" w:hAnsi="Calibri"/>
          <w:b w:val="0"/>
          <w:color w:val="2B2B2B"/>
          <w:sz w:val="22"/>
        </w:rPr>
        <w:t xml:space="preserve"> Sistema web cliente-servidor multicapa. Blazor y .NET Core 9 se nombran en el marco tecnológico (Blazor p. 57; .NET Core 9 p. 58); la Fase V solo dice «tecnologías .NET y una base de datos relacional SQL Server» (p. 181). Trae 10 módulos —usuarios, proveedores, categorías, licitaciones, productos, ofertas, evaluación multicriterio, adjudicación, auditoría y notificaciones— (p. 227). El motor multicriterio pondera precio 35 %, marca 20 %, capacidad financiera 15 %, plazo de pago 10 %, tiempo de entrega 10 % y valor agregado 10 % (p. 143), con calificación final en escala 1-5 (p. 144). La API REST está documentada endpoint por endpoint contra procedimientos almacenados </w:t>
      </w:r>
      <w:r>
        <w:rPr>
          <w:rFonts w:ascii="Calibri" w:hAnsi="Calibri"/>
          <w:b/>
          <w:color w:val="2B2B2B"/>
          <w:sz w:val="22"/>
        </w:rPr>
        <w:t>de la p. 117 a la p. 154</w:t>
      </w:r>
      <w:r>
        <w:rPr>
          <w:rFonts w:ascii="Calibri" w:hAnsi="Calibri"/>
          <w:b w:val="0"/>
          <w:color w:val="2B2B2B"/>
          <w:sz w:val="22"/>
        </w:rPr>
        <w:t>; las pp. 155-158 ya no son API, son los criterios de evaluación multicriterio (Figuras 13-18) y los requerimientos técnicos. Hay BPMN AS-IS (p. 167) y TO-BE (p. 178), doce reglas de negocio RN-01 a RN-12 (pp. 174-175) y medio centenar de capturas de las pruebas por módulo (Figuras 35 a 86, pp. 192-222). El sistema está en operación real on-premise desde el 1 de junio de 2026 y ha gestionado 10 licitaciones (p. 181).</w:t>
      </w:r>
    </w:p>
    <w:p>
      <w:r>
        <w:rPr>
          <w:rFonts w:ascii="Calibri" w:hAnsi="Calibri"/>
          <w:b/>
          <w:color w:val="2B2B2B"/>
          <w:sz w:val="22"/>
        </w:rPr>
        <w:t>Resultados.</w:t>
      </w:r>
      <w:r>
        <w:rPr>
          <w:rFonts w:ascii="Calibri" w:hAnsi="Calibri"/>
          <w:b w:val="0"/>
          <w:color w:val="2B2B2B"/>
          <w:sz w:val="22"/>
        </w:rPr>
        <w:t xml:space="preserve"> Ciclo 12,5 → 4,8 días (-61,6 %); consolidación 32 h → 0,5 h; errores 50 % → 0 %; madurez digital 35 % → 88 % (Tabla 55, p. 233). UAT aprobada por los 6 funcionarios sobre los 10 escenarios, 100 % de conformidad (p. 231). La matriz ADKAR (Tabla 56, p. 235) deja Reforzamiento como la dimensión más débil, con un consolidado de 23/30; el </w:t>
      </w:r>
      <w:r>
        <w:rPr>
          <w:rFonts w:ascii="Calibri" w:hAnsi="Calibri"/>
          <w:b/>
          <w:color w:val="2B2B2B"/>
          <w:sz w:val="22"/>
        </w:rPr>
        <w:t>76,6 %</w:t>
      </w:r>
      <w:r>
        <w:rPr>
          <w:rFonts w:ascii="Calibri" w:hAnsi="Calibri"/>
          <w:b w:val="0"/>
          <w:color w:val="2B2B2B"/>
          <w:sz w:val="22"/>
        </w:rPr>
        <w:t xml:space="preserve"> y el riesgo de regresión están en la p. 241, no en la 235.</w:t>
      </w:r>
    </w:p>
    <w:p>
      <w:r>
        <w:rPr>
          <w:rFonts w:ascii="Calibri" w:hAnsi="Calibri"/>
          <w:b/>
          <w:color w:val="2B2B2B"/>
          <w:sz w:val="22"/>
        </w:rPr>
        <w:t>Límites declarados.</w:t>
      </w:r>
      <w:r>
        <w:rPr>
          <w:rFonts w:ascii="Calibri" w:hAnsi="Calibri"/>
          <w:b w:val="0"/>
          <w:color w:val="2B2B2B"/>
          <w:sz w:val="22"/>
        </w:rPr>
        <w:t xml:space="preserve"> Sin integración con ERP, on-premise, no generalizable, y la adjudicación final sigue siendo humana (pp. 28-30, 226, 241).</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(p. 1), objetivo general (p. 24) y pregunta de investigación (p. 23) dicen lo mismo: </w:t>
      </w:r>
      <w:r>
        <w:rPr>
          <w:rFonts w:ascii="Calibri" w:hAnsi="Calibri"/>
          <w:b/>
          <w:color w:val="2B2B2B"/>
          <w:sz w:val="22"/>
        </w:rPr>
        <w:t>diseñar e implementar</w:t>
      </w:r>
      <w:r>
        <w:rPr>
          <w:rFonts w:ascii="Calibri" w:hAnsi="Calibri"/>
          <w:b w:val="0"/>
          <w:color w:val="2B2B2B"/>
          <w:sz w:val="22"/>
        </w:rPr>
        <w:t xml:space="preserve"> un sistema web de licitaciones para optimizar el proceso de compras. El verbo obliga a mostrar producto implementado, y el producto está implementado y en producción (p. 181). El único adjetivo que el trabajo no sustenta es </w:t>
      </w:r>
      <w:r>
        <w:rPr>
          <w:rFonts w:ascii="Calibri" w:hAnsi="Calibri"/>
          <w:b/>
          <w:color w:val="2B2B2B"/>
          <w:sz w:val="22"/>
        </w:rPr>
        <w:t>«inteligente»</w:t>
      </w:r>
      <w:r>
        <w:rPr>
          <w:rFonts w:ascii="Calibri" w:hAnsi="Calibri"/>
          <w:b w:val="0"/>
          <w:color w:val="2B2B2B"/>
          <w:sz w:val="22"/>
        </w:rPr>
        <w:t xml:space="preserve"> del título: el motor es una fórmula ponderada determinista (pp. 143-144) y la incorporación de IA aparece como recomendación futura (p. 242). </w:t>
      </w:r>
      <w:r>
        <w:rPr>
          <w:rFonts w:ascii="Calibri" w:hAnsi="Calibri"/>
          <w:b/>
          <w:color w:val="2B2B2B"/>
          <w:sz w:val="22"/>
        </w:rPr>
        <w:t>Acreditados sin reservas: 2 de 4; los otros dos, con vacíos identificables.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1. Analizar</w:t>
            </w:r>
            <w:r>
              <w:rPr>
                <w:rFonts w:ascii="Calibri" w:hAnsi="Calibri"/>
                <w:b w:val="0"/>
                <w:color w:val="2B2B2B"/>
                <w:sz w:val="20"/>
              </w:rPr>
              <w:t xml:space="preserve"> el proceso actual y </w:t>
            </w:r>
            <w:r>
              <w:rPr>
                <w:rFonts w:ascii="Calibri" w:hAnsi="Calibri"/>
                <w:b/>
                <w:color w:val="2B2B2B"/>
                <w:sz w:val="20"/>
              </w:rPr>
              <w:t>diseñar</w:t>
            </w:r>
            <w:r>
              <w:rPr>
                <w:rFonts w:ascii="Calibri" w:hAnsi="Calibri"/>
                <w:b w:val="0"/>
                <w:color w:val="2B2B2B"/>
                <w:sz w:val="20"/>
              </w:rPr>
              <w:t xml:space="preserve"> el modelo optimizado bajo BPM</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Caracterización del proceso observado (p. 93), registro cronológico con tiempos por actividad (pp. 97-99), lista de chequeo (p. 100), BPMN AS-IS (p. 167), BPMN TO-BE (p. 178), matriz comparativa AS-IS/TO-BE (Tabla 53, p. 225)</w:t>
            </w:r>
          </w:p>
        </w:tc>
        <w:tc>
          <w:tcPr>
            <w:tcW w:type="dxa" w:w="2448"/>
          </w:tcPr>
          <w:p>
            <w:r/>
            <w:r>
              <w:rPr>
                <w:rFonts w:ascii="Calibri" w:hAnsi="Calibri"/>
                <w:b w:val="0"/>
                <w:color w:val="2B2B2B"/>
                <w:sz w:val="20"/>
              </w:rPr>
              <w:t>Nada sustantivo. Es la sección mejor sustentada del trabajo</w:t>
            </w:r>
          </w:p>
        </w:tc>
      </w:tr>
      <w:tr>
        <w:tc>
          <w:tcPr>
            <w:tcW w:type="dxa" w:w="2448"/>
            <w:shd w:val="clear" w:fill="F5F7F5"/>
            <w:shd w:val="clear" w:fill="F5F7F5"/>
          </w:tcPr>
          <w:p>
            <w:r/>
            <w:r>
              <w:rPr>
                <w:rFonts w:ascii="Calibri" w:hAnsi="Calibri"/>
                <w:b/>
                <w:color w:val="2B2B2B"/>
                <w:sz w:val="20"/>
              </w:rPr>
              <w:t>2. Diseñar</w:t>
            </w:r>
            <w:r>
              <w:rPr>
                <w:rFonts w:ascii="Calibri" w:hAnsi="Calibri"/>
                <w:b w:val="0"/>
                <w:color w:val="2B2B2B"/>
                <w:sz w:val="20"/>
              </w:rPr>
              <w:t xml:space="preserve"> la arquitectura MVC en capas y </w:t>
            </w:r>
            <w:r>
              <w:rPr>
                <w:rFonts w:ascii="Calibri" w:hAnsi="Calibri"/>
                <w:b/>
                <w:color w:val="2B2B2B"/>
                <w:sz w:val="20"/>
              </w:rPr>
              <w:t>desarrollar</w:t>
            </w:r>
            <w:r>
              <w:rPr>
                <w:rFonts w:ascii="Calibri" w:hAnsi="Calibri"/>
                <w:b w:val="0"/>
                <w:color w:val="2B2B2B"/>
                <w:sz w:val="20"/>
              </w:rPr>
              <w:t xml:space="preserve"> las funcionalidades</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Arquitectura en tres capas con tecnología por capa (pp. 56-58), modelo E-R (pp. 183-186), inventario de 10 módulos (Tabla 54, p. 227), API REST documentada (pp. 117-154)</w:t>
            </w:r>
          </w:p>
        </w:tc>
        <w:tc>
          <w:tcPr>
            <w:tcW w:type="dxa" w:w="2448"/>
            <w:shd w:val="clear" w:fill="F5F7F5"/>
            <w:shd w:val="clear" w:fill="F5F7F5"/>
          </w:tcPr>
          <w:p>
            <w:r/>
            <w:r>
              <w:rPr>
                <w:rFonts w:ascii="Calibri" w:hAnsi="Calibri"/>
                <w:b w:val="0"/>
                <w:color w:val="2B2B2B"/>
                <w:sz w:val="20"/>
              </w:rPr>
              <w:t xml:space="preserve">El patrón </w:t>
            </w:r>
            <w:r>
              <w:rPr>
                <w:rFonts w:ascii="Calibri" w:hAnsi="Calibri"/>
                <w:b/>
                <w:color w:val="2B2B2B"/>
                <w:sz w:val="20"/>
              </w:rPr>
              <w:t>MVC</w:t>
            </w:r>
            <w:r>
              <w:rPr>
                <w:rFonts w:ascii="Calibri" w:hAnsi="Calibri"/>
                <w:b w:val="0"/>
                <w:color w:val="2B2B2B"/>
                <w:sz w:val="20"/>
              </w:rPr>
              <w:t xml:space="preserve"> que nombran el título y el objetivo solo aparece en el marco teórico y en la matriz metodológica —pp. 16, 17, 24, 51, 52, 56 y 73— y </w:t>
            </w:r>
            <w:r>
              <w:rPr>
                <w:rFonts w:ascii="Calibri" w:hAnsi="Calibri"/>
                <w:b/>
                <w:color w:val="2B2B2B"/>
                <w:sz w:val="20"/>
              </w:rPr>
              <w:t>no reaparece en ninguna de las pp. 74-249</w:t>
            </w:r>
            <w:r>
              <w:rPr>
                <w:rFonts w:ascii="Calibri" w:hAnsi="Calibri"/>
                <w:b w:val="0"/>
                <w:color w:val="2B2B2B"/>
                <w:sz w:val="20"/>
              </w:rPr>
              <w:t>; la Fase V describe «arquitectura cliente-servidor multicapa» (p. 181) con frontend SPA en Blazor (p. 57), que no es MVC en sentido estricto</w:t>
            </w:r>
          </w:p>
        </w:tc>
      </w:tr>
      <w:tr>
        <w:tc>
          <w:tcPr>
            <w:tcW w:type="dxa" w:w="2448"/>
          </w:tcPr>
          <w:p>
            <w:r/>
            <w:r>
              <w:rPr>
                <w:rFonts w:ascii="Calibri" w:hAnsi="Calibri"/>
                <w:b/>
                <w:color w:val="2B2B2B"/>
                <w:sz w:val="20"/>
              </w:rPr>
              <w:t>3. Validar</w:t>
            </w:r>
            <w:r>
              <w:rPr>
                <w:rFonts w:ascii="Calibri" w:hAnsi="Calibri"/>
                <w:b w:val="0"/>
                <w:color w:val="2B2B2B"/>
                <w:sz w:val="20"/>
              </w:rPr>
              <w:t xml:space="preserve"> con pruebas funcionales, de integración, de usabilidad y UAT</w:t>
            </w:r>
          </w:p>
        </w:tc>
        <w:tc>
          <w:tcPr>
            <w:tcW w:type="dxa" w:w="2448"/>
          </w:tcPr>
          <w:p>
            <w:r/>
            <w:r>
              <w:rPr>
                <w:rFonts w:ascii="Calibri" w:hAnsi="Calibri"/>
                <w:b/>
                <w:color w:val="2B2B2B"/>
                <w:sz w:val="20"/>
              </w:rPr>
              <w:t>Sí, con dos vacíos formales</w:t>
            </w:r>
          </w:p>
        </w:tc>
        <w:tc>
          <w:tcPr>
            <w:tcW w:type="dxa" w:w="2448"/>
          </w:tcPr>
          <w:p>
            <w:r/>
            <w:r>
              <w:rPr>
                <w:rFonts w:ascii="Calibri" w:hAnsi="Calibri"/>
                <w:b w:val="0"/>
                <w:color w:val="2B2B2B"/>
                <w:sz w:val="20"/>
              </w:rPr>
              <w:t>Pruebas por módulo con capturas (pp. 192-222), matriz de pruebas sobre 10 procesos (Figura 87, p. 229), matriz UAT por rol (Figura 88, p. 230), 100 % de conformidad (p. 231)</w:t>
            </w:r>
          </w:p>
        </w:tc>
        <w:tc>
          <w:tcPr>
            <w:tcW w:type="dxa" w:w="2448"/>
          </w:tcPr>
          <w:p>
            <w:r/>
            <w:r>
              <w:rPr>
                <w:rFonts w:ascii="Calibri" w:hAnsi="Calibri"/>
                <w:b w:val="0"/>
                <w:color w:val="2B2B2B"/>
                <w:sz w:val="20"/>
              </w:rPr>
              <w:t xml:space="preserve">El producto 9 de la matriz metodológica —«Acta de Aceptación Funcional del Sistema: certificación firmada»— figura como </w:t>
            </w:r>
            <w:r>
              <w:rPr>
                <w:rFonts w:ascii="Calibri" w:hAnsi="Calibri"/>
                <w:b/>
                <w:color w:val="2B2B2B"/>
                <w:sz w:val="20"/>
              </w:rPr>
              <w:t>«(pendiente)»</w:t>
            </w:r>
            <w:r>
              <w:rPr>
                <w:rFonts w:ascii="Calibri" w:hAnsi="Calibri"/>
                <w:b w:val="0"/>
                <w:color w:val="2B2B2B"/>
                <w:sz w:val="20"/>
              </w:rPr>
              <w:t xml:space="preserve"> (p. 73) y no aparece en los anexos, que solo traen entrevistas y observación (pp. 248-249). Las </w:t>
            </w:r>
            <w:r>
              <w:rPr>
                <w:rFonts w:ascii="Calibri" w:hAnsi="Calibri"/>
                <w:b/>
                <w:color w:val="2B2B2B"/>
                <w:sz w:val="20"/>
              </w:rPr>
              <w:t>pruebas de seguridad básica</w:t>
            </w:r>
            <w:r>
              <w:rPr>
                <w:rFonts w:ascii="Calibri" w:hAnsi="Calibri"/>
                <w:b w:val="0"/>
                <w:color w:val="2B2B2B"/>
                <w:sz w:val="20"/>
              </w:rPr>
              <w:t xml:space="preserve"> anunciadas en la metodología (p. 68) no se reportan en resultados (p. 228)</w:t>
            </w:r>
          </w:p>
        </w:tc>
      </w:tr>
      <w:tr>
        <w:tc>
          <w:tcPr>
            <w:tcW w:type="dxa" w:w="2448"/>
            <w:shd w:val="clear" w:fill="F5F7F5"/>
            <w:shd w:val="clear" w:fill="F5F7F5"/>
          </w:tcPr>
          <w:p>
            <w:r/>
            <w:r>
              <w:rPr>
                <w:rFonts w:ascii="Calibri" w:hAnsi="Calibri"/>
                <w:b/>
                <w:color w:val="2B2B2B"/>
                <w:sz w:val="20"/>
              </w:rPr>
              <w:t>4. Implementar</w:t>
            </w:r>
            <w:r>
              <w:rPr>
                <w:rFonts w:ascii="Calibri" w:hAnsi="Calibri"/>
                <w:b w:val="0"/>
                <w:color w:val="2B2B2B"/>
                <w:sz w:val="20"/>
              </w:rPr>
              <w:t xml:space="preserve"> on-premise, ejecutar el plan de cambio y </w:t>
            </w:r>
            <w:r>
              <w:rPr>
                <w:rFonts w:ascii="Calibri" w:hAnsi="Calibri"/>
                <w:b/>
                <w:color w:val="2B2B2B"/>
                <w:sz w:val="20"/>
              </w:rPr>
              <w:t>evaluar impacto</w:t>
            </w:r>
            <w:r>
              <w:rPr>
                <w:rFonts w:ascii="Calibri" w:hAnsi="Calibri"/>
                <w:b w:val="0"/>
                <w:color w:val="2B2B2B"/>
                <w:sz w:val="20"/>
              </w:rPr>
              <w:t xml:space="preserve"> con KPI y madurez digital comparativa</w:t>
            </w:r>
          </w:p>
        </w:tc>
        <w:tc>
          <w:tcPr>
            <w:tcW w:type="dxa" w:w="2448"/>
            <w:shd w:val="clear" w:fill="F5F7F5"/>
            <w:shd w:val="clear" w:fill="F5F7F5"/>
          </w:tcPr>
          <w:p>
            <w:r/>
            <w:r>
              <w:rPr>
                <w:rFonts w:ascii="Calibri" w:hAnsi="Calibri"/>
                <w:b/>
                <w:color w:val="2B2B2B"/>
                <w:sz w:val="20"/>
              </w:rPr>
              <w:t>Parcial</w:t>
            </w:r>
          </w:p>
        </w:tc>
        <w:tc>
          <w:tcPr>
            <w:tcW w:type="dxa" w:w="2448"/>
            <w:shd w:val="clear" w:fill="F5F7F5"/>
            <w:shd w:val="clear" w:fill="F5F7F5"/>
          </w:tcPr>
          <w:p>
            <w:r/>
            <w:r>
              <w:rPr>
                <w:rFonts w:ascii="Calibri" w:hAnsi="Calibri"/>
                <w:b w:val="0"/>
                <w:color w:val="2B2B2B"/>
                <w:sz w:val="20"/>
              </w:rPr>
              <w:t>Puesta en operación 1/6/2026 (p. 181), despliegue y plan ADKAR (p. 232), Tabla 55 de KPI (p. 233), matriz ADKAR de los 6 usuarios (Tabla 56, p. 235)</w:t>
            </w:r>
          </w:p>
        </w:tc>
        <w:tc>
          <w:tcPr>
            <w:tcW w:type="dxa" w:w="2448"/>
            <w:shd w:val="clear" w:fill="F5F7F5"/>
            <w:shd w:val="clear" w:fill="F5F7F5"/>
          </w:tcPr>
          <w:p>
            <w:r/>
            <w:r>
              <w:rPr>
                <w:rFonts w:ascii="Calibri" w:hAnsi="Calibri"/>
                <w:b w:val="0"/>
                <w:color w:val="2B2B2B"/>
                <w:sz w:val="20"/>
              </w:rPr>
              <w:t xml:space="preserve">El instrumento de madurez digital declarado en metodología tiene cinco dimensiones —automatización, integración, analítica, seguridad, gobernanza, escala 1-5, antes y después— (p. 76) y </w:t>
            </w:r>
            <w:r>
              <w:rPr>
                <w:rFonts w:ascii="Calibri" w:hAnsi="Calibri"/>
                <w:b/>
                <w:color w:val="2B2B2B"/>
                <w:sz w:val="20"/>
              </w:rPr>
              <w:t>no se aplicó</w:t>
            </w:r>
            <w:r>
              <w:rPr>
                <w:rFonts w:ascii="Calibri" w:hAnsi="Calibri"/>
                <w:b w:val="0"/>
                <w:color w:val="2B2B2B"/>
                <w:sz w:val="20"/>
              </w:rPr>
              <w:t>: lo que se reporta como «Índice de Madurez Digital» es el porcentaje de adopción ADKAR (pp. 235-236). La línea base del 35 % no tiene instrumento ni fecha en ninguna parte del documento (buscado en 6.7, p. 76, y en 8.1.5, pp. 232-237)</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El producto existe, está en producción y se puede auditar.</w:t>
      </w:r>
      <w:r>
        <w:rPr>
          <w:rFonts w:ascii="Calibri" w:hAnsi="Calibri"/>
          <w:b w:val="0"/>
          <w:color w:val="2B2B2B"/>
          <w:sz w:val="22"/>
        </w:rPr>
        <w:t xml:space="preserve"> Operación real on-premise desde el 1 de junio de 2026 y 10 licitaciones gestionadas (p. 181), con medio centenar de capturas módulo por módulo —Figuras 35 a 86, pp. 192-222—, incluidas las correcciones tras los fallos de interfaz (pp. 216-217). No es una maqueta.</w:t>
      </w:r>
    </w:p>
    <w:p>
      <w:pPr>
        <w:pStyle w:val="ListNumber"/>
      </w:pPr>
      <w:r>
        <w:rPr>
          <w:rFonts w:ascii="Calibri" w:hAnsi="Calibri"/>
          <w:b/>
          <w:color w:val="2B2B2B"/>
          <w:sz w:val="22"/>
        </w:rPr>
        <w:t>La línea base está medida, no supuesta.</w:t>
      </w:r>
      <w:r>
        <w:rPr>
          <w:rFonts w:ascii="Calibri" w:hAnsi="Calibri"/>
          <w:b w:val="0"/>
          <w:color w:val="2B2B2B"/>
          <w:sz w:val="22"/>
        </w:rPr>
        <w:t xml:space="preserve"> El registro cronológico de observación asigna tiempo, herramienta y riesgo a cada una de las 16 actividades del proceso manual (pp. 97-99), y de ahí salen los 12,5 días y las 32 horas (p. 100). Muy pocos trabajos de este cohorte tienen un AS-IS cuantificado.</w:t>
      </w:r>
    </w:p>
    <w:p>
      <w:pPr>
        <w:pStyle w:val="ListNumber"/>
      </w:pPr>
      <w:r>
        <w:rPr>
          <w:rFonts w:ascii="Calibri" w:hAnsi="Calibri"/>
          <w:b/>
          <w:color w:val="2B2B2B"/>
          <w:sz w:val="22"/>
        </w:rPr>
        <w:t>Ingeniería documentada al nivel que se le pide a un especialista.</w:t>
      </w:r>
      <w:r>
        <w:rPr>
          <w:rFonts w:ascii="Calibri" w:hAnsi="Calibri"/>
          <w:b w:val="0"/>
          <w:color w:val="2B2B2B"/>
          <w:sz w:val="22"/>
        </w:rPr>
        <w:t xml:space="preserve"> Cada endpoint con parámetros de entrada y salida, método y procedimiento almacenado asociado (pp. 117-154, último bloque con </w:t>
      </w:r>
      <w:r>
        <w:rPr>
          <w:rFonts w:ascii="Consolas" w:hAnsi="Consolas"/>
          <w:color w:val="111111"/>
          <w:sz w:val="21"/>
        </w:rPr>
        <w:t>usp_</w:t>
      </w:r>
      <w:r>
        <w:rPr>
          <w:rFonts w:ascii="Calibri" w:hAnsi="Calibri"/>
          <w:b w:val="0"/>
          <w:color w:val="2B2B2B"/>
          <w:sz w:val="22"/>
        </w:rPr>
        <w:t xml:space="preserve"> en la p. 154); modelo E-R por dominio (pp. 183-186); reglas de negocio del TO-BE numeradas RN-01 a RN-12 (RN-01 a RN-11 en la p. 174, RN-12 en la p. 175).</w:t>
      </w:r>
    </w:p>
    <w:p>
      <w:pPr>
        <w:pStyle w:val="ListNumber"/>
      </w:pPr>
      <w:r>
        <w:rPr>
          <w:rFonts w:ascii="Calibri" w:hAnsi="Calibri"/>
          <w:b/>
          <w:color w:val="2B2B2B"/>
          <w:sz w:val="22"/>
        </w:rPr>
        <w:t>El motor multicriterio es explícito y suma 100 %:</w:t>
      </w:r>
      <w:r>
        <w:rPr>
          <w:rFonts w:ascii="Calibri" w:hAnsi="Calibri"/>
          <w:b w:val="0"/>
          <w:color w:val="2B2B2B"/>
          <w:sz w:val="22"/>
        </w:rPr>
        <w:t xml:space="preserve"> precio 35 %, marca 20 %, capacidad financiera 15 %, plazo de pago 10 %, tiempo de entrega 10 %, valor agregado 10 % (p. 143), con calificación final en escala 1-5 (p. 144). Se puede discutir, que es exactamente lo que debe poder hacerse con un criterio de adjudicación. </w:t>
      </w:r>
      <w:r>
        <w:rPr>
          <w:rFonts w:ascii="Calibri" w:hAnsi="Calibri"/>
          <w:b/>
          <w:color w:val="2B2B2B"/>
          <w:sz w:val="22"/>
        </w:rPr>
        <w:t>Reserva de esta fortaleza:</w:t>
      </w:r>
      <w:r>
        <w:rPr>
          <w:rFonts w:ascii="Calibri" w:hAnsi="Calibri"/>
          <w:b w:val="0"/>
          <w:color w:val="2B2B2B"/>
          <w:sz w:val="22"/>
        </w:rPr>
        <w:t xml:space="preserve"> la salida documentada del procedimiento que lista «todas las calificaciones y el puntaje total» trae cinco </w:t>
      </w:r>
      <w:r>
        <w:rPr>
          <w:rFonts w:ascii="Consolas" w:hAnsi="Consolas"/>
          <w:color w:val="111111"/>
          <w:sz w:val="21"/>
        </w:rPr>
        <w:t>Calif*</w:t>
      </w:r>
      <w:r>
        <w:rPr>
          <w:rFonts w:ascii="Calibri" w:hAnsi="Calibri"/>
          <w:b w:val="0"/>
          <w:color w:val="2B2B2B"/>
          <w:sz w:val="22"/>
        </w:rPr>
        <w:t xml:space="preserve"> y ninguna de Marca (Tabla 38, p. 145) — es la pregunta 1.</w:t>
      </w:r>
    </w:p>
    <w:p>
      <w:pPr>
        <w:pStyle w:val="ListNumber"/>
      </w:pPr>
      <w:r>
        <w:rPr>
          <w:rFonts w:ascii="Calibri" w:hAnsi="Calibri"/>
          <w:b/>
          <w:color w:val="2B2B2B"/>
          <w:sz w:val="22"/>
        </w:rPr>
        <w:t>Honestidad en tres puntos incómodos.</w:t>
      </w:r>
      <w:r>
        <w:rPr>
          <w:rFonts w:ascii="Calibri" w:hAnsi="Calibri"/>
          <w:b w:val="0"/>
          <w:color w:val="2B2B2B"/>
          <w:sz w:val="22"/>
        </w:rPr>
        <w:t xml:space="preserve"> Explican por qué el UAT final da 100 % después de haber fallado en las primeras pruebas (p. 240); reconocen que el 88 % de adopción «no debe verse como algo perfecto» y que el riesgo de volver al correo sigue vivo (p. 241); y dejan por escrito que el TO-BE conservó la decisión final en la Dirección Administrativa (p. 226).</w:t>
      </w:r>
    </w:p>
    <w:p>
      <w:pPr>
        <w:pStyle w:val="ListNumber"/>
      </w:pPr>
      <w:r>
        <w:rPr>
          <w:rFonts w:ascii="Calibri" w:hAnsi="Calibri"/>
          <w:b/>
          <w:color w:val="2B2B2B"/>
          <w:sz w:val="22"/>
        </w:rPr>
        <w:t>La discusión discute de verdad.</w:t>
      </w:r>
      <w:r>
        <w:rPr>
          <w:rFonts w:ascii="Calibri" w:hAnsi="Calibri"/>
          <w:b w:val="0"/>
          <w:color w:val="2B2B2B"/>
          <w:sz w:val="22"/>
        </w:rPr>
        <w:t xml:space="preserve"> Contrasta sus resultados con Arquinigo y López (2025), D'Cristofaro (2022), Chacón (2025), Bravo y Brauer (2023) y González (2025), y sostiene una diferencia propia: que para esta empresa no hacía falta blockchain ni nube, sino base relacional con validaciones (pp. 238-240). Eso es análisis, no compilación.</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La madurez digital no se midió con el instrumento que el propio documento declara.</w:t>
      </w:r>
      <w:r>
        <w:rPr>
          <w:rFonts w:ascii="Calibri" w:hAnsi="Calibri"/>
          <w:b w:val="0"/>
          <w:color w:val="2B2B2B"/>
          <w:sz w:val="22"/>
        </w:rPr>
        <w:t xml:space="preserve"> Metodología: cinco dimensiones (automatización, integración, analítica, seguridad, gobernanza), escala 1-5, antes y después (p. 76). Resultados: matriz ADKAR de cinco dimensiones de adopción aplicada a los 6 funcionarios (Tabla 56, p. 235, cuya nota dice que la «madurez digital» bajo ADKAR «se mide mediante encuestas diagnósticas») y rebautizada «Índice de Madurez Digital» (p. 236). Son dos constructos distintos, y </w:t>
      </w:r>
      <w:r>
        <w:rPr>
          <w:rFonts w:ascii="Calibri" w:hAnsi="Calibri"/>
          <w:b/>
          <w:color w:val="2B2B2B"/>
          <w:sz w:val="22"/>
        </w:rPr>
        <w:t>la línea base del 35 % no tiene instrumento, fecha ni respondientes</w:t>
      </w:r>
      <w:r>
        <w:rPr>
          <w:rFonts w:ascii="Calibri" w:hAnsi="Calibri"/>
          <w:b w:val="0"/>
          <w:color w:val="2B2B2B"/>
          <w:sz w:val="22"/>
        </w:rPr>
        <w:t xml:space="preserve"> en ninguna página: como madurez, el 35 % solo aparece en la Tabla 55 (p. 233) y en la p. 236. Agravante de fecha: la p. 236 dice que el 88 % se obtuvo «después de realizar las pruebas de aceptación de usuario (UAT) con los 6 funcionarios», así que el único instrumento aplicado corrió después y no pudo producir el «antes». </w:t>
      </w:r>
      <w:r>
        <w:rPr>
          <w:rFonts w:ascii="Calibri" w:hAnsi="Calibri"/>
          <w:i/>
          <w:color w:val="2B2B2B"/>
          <w:sz w:val="22"/>
        </w:rPr>
        <w:t>Matiz que hay que conceder:</w:t>
      </w:r>
      <w:r>
        <w:rPr>
          <w:rFonts w:ascii="Calibri" w:hAnsi="Calibri"/>
          <w:b w:val="0"/>
          <w:color w:val="2B2B2B"/>
          <w:sz w:val="22"/>
        </w:rPr>
        <w:t xml:space="preserve"> sí existe referente teórico del constructo —p. 55, «5.3.13 Madurez Digital», con las mismas cinco dimensiones y con (Baiges, Lázaro y García, 2024), obra que además está en la lista de referencias (p. 244)—; lo que no existe es un instrumento derivado de él y aplicado. El referente, encima, es un estudio de madurez digital institucional en educación. En pantalla el constructo se proyecta tal cual —la diap. 6 reproduce la frase de la p. 55 palabra por palabra— y la cifra no: ni el 35 % ni el 88 % aparecen en ninguna de las 16 diapositivas (§5, punto 7).</w:t>
      </w:r>
    </w:p>
    <w:p>
      <w:pPr>
        <w:pStyle w:val="ListNumber"/>
      </w:pPr>
      <w:r>
        <w:rPr>
          <w:rFonts w:ascii="Calibri" w:hAnsi="Calibri"/>
          <w:b/>
          <w:color w:val="2B2B2B"/>
          <w:sz w:val="22"/>
        </w:rPr>
        <w:t>Las 32 horas están contadas dos veces y no salen del propio cronómetro.</w:t>
      </w:r>
      <w:r>
        <w:rPr>
          <w:rFonts w:ascii="Calibri" w:hAnsi="Calibri"/>
          <w:b w:val="0"/>
          <w:color w:val="2B2B2B"/>
          <w:sz w:val="22"/>
        </w:rPr>
        <w:t xml:space="preserve"> La p. 100 dice que consolidación </w:t>
      </w:r>
      <w:r>
        <w:rPr>
          <w:rFonts w:ascii="Calibri" w:hAnsi="Calibri"/>
          <w:b/>
          <w:color w:val="2B2B2B"/>
          <w:sz w:val="22"/>
        </w:rPr>
        <w:t>y</w:t>
      </w:r>
      <w:r>
        <w:rPr>
          <w:rFonts w:ascii="Calibri" w:hAnsi="Calibri"/>
          <w:b w:val="0"/>
          <w:color w:val="2B2B2B"/>
          <w:sz w:val="22"/>
        </w:rPr>
        <w:t xml:space="preserve"> evaluación juntas tomaban unas 32 horas. La Tabla 55 (p. 233) abre dos KPI —«Tiempo de Consolidación de las ofertas» y «Tiempo de Evaluación de Criterios de la licitación»— y le asigna </w:t>
      </w:r>
      <w:r>
        <w:rPr>
          <w:rFonts w:ascii="Calibri" w:hAnsi="Calibri"/>
          <w:b/>
          <w:color w:val="2B2B2B"/>
          <w:sz w:val="22"/>
        </w:rPr>
        <w:t>32 horas a cada uno</w:t>
      </w:r>
      <w:r>
        <w:rPr>
          <w:rFonts w:ascii="Calibri" w:hAnsi="Calibri"/>
          <w:b w:val="0"/>
          <w:color w:val="2B2B2B"/>
          <w:sz w:val="22"/>
        </w:rPr>
        <w:t xml:space="preserve">, ambos con -98,4 %: 64 horas de línea base. Pero la Tabla 19 cronometra la actividad 9 «Consolidación de ofertas» en </w:t>
      </w:r>
      <w:r>
        <w:rPr>
          <w:rFonts w:ascii="Calibri" w:hAnsi="Calibri"/>
          <w:b/>
          <w:color w:val="2B2B2B"/>
          <w:sz w:val="22"/>
        </w:rPr>
        <w:t>6-8 h</w:t>
      </w:r>
      <w:r>
        <w:rPr>
          <w:rFonts w:ascii="Calibri" w:hAnsi="Calibri"/>
          <w:b w:val="0"/>
          <w:color w:val="2B2B2B"/>
          <w:sz w:val="22"/>
        </w:rPr>
        <w:t xml:space="preserve"> (marcada «Principal cuello de botella»), la 10 «Comparación de precios» en </w:t>
      </w:r>
      <w:r>
        <w:rPr>
          <w:rFonts w:ascii="Calibri" w:hAnsi="Calibri"/>
          <w:b/>
          <w:color w:val="2B2B2B"/>
          <w:sz w:val="22"/>
        </w:rPr>
        <w:t>3 h</w:t>
      </w:r>
      <w:r>
        <w:rPr>
          <w:rFonts w:ascii="Calibri" w:hAnsi="Calibri"/>
          <w:b w:val="0"/>
          <w:color w:val="2B2B2B"/>
          <w:sz w:val="22"/>
        </w:rPr>
        <w:t xml:space="preserve"> y la 11 «Evaluación multicriterio» en </w:t>
      </w:r>
      <w:r>
        <w:rPr>
          <w:rFonts w:ascii="Calibri" w:hAnsi="Calibri"/>
          <w:b/>
          <w:color w:val="2B2B2B"/>
          <w:sz w:val="22"/>
        </w:rPr>
        <w:t>2 h</w:t>
      </w:r>
      <w:r>
        <w:rPr>
          <w:rFonts w:ascii="Calibri" w:hAnsi="Calibri"/>
          <w:b w:val="0"/>
          <w:color w:val="2B2B2B"/>
          <w:sz w:val="22"/>
        </w:rPr>
        <w:t xml:space="preserve"> (p. 98): </w:t>
      </w:r>
      <w:r>
        <w:rPr>
          <w:rFonts w:ascii="Calibri" w:hAnsi="Calibri"/>
          <w:b/>
          <w:color w:val="2B2B2B"/>
          <w:sz w:val="22"/>
        </w:rPr>
        <w:t>11-13 h</w:t>
      </w:r>
      <w:r>
        <w:rPr>
          <w:rFonts w:ascii="Calibri" w:hAnsi="Calibri"/>
          <w:b w:val="0"/>
          <w:color w:val="2B2B2B"/>
          <w:sz w:val="22"/>
        </w:rPr>
        <w:t xml:space="preserve">, y las 16 actividades completas suman </w:t>
      </w:r>
      <w:r>
        <w:rPr>
          <w:rFonts w:ascii="Calibri" w:hAnsi="Calibri"/>
          <w:b/>
          <w:color w:val="2B2B2B"/>
          <w:sz w:val="22"/>
        </w:rPr>
        <w:t>18-20 h</w:t>
      </w:r>
      <w:r>
        <w:rPr>
          <w:rFonts w:ascii="Calibri" w:hAnsi="Calibri"/>
          <w:b w:val="0"/>
          <w:color w:val="2B2B2B"/>
          <w:sz w:val="22"/>
        </w:rPr>
        <w:t xml:space="preserve"> (pp. 97-99). La tabla no declara si esos tiempos son por categoría o por licitación. Nada de esto se puede pillar oyendo: «32» da cero coincidencias en las 16 diapositivas y ninguna proyecta la Tabla 55 (§5, punto 1).</w:t>
      </w:r>
    </w:p>
    <w:p>
      <w:pPr>
        <w:pStyle w:val="ListNumber"/>
      </w:pPr>
      <w:r>
        <w:rPr>
          <w:rFonts w:ascii="Calibri" w:hAnsi="Calibri"/>
          <w:b/>
          <w:color w:val="2B2B2B"/>
          <w:sz w:val="22"/>
        </w:rPr>
        <w:t>El 20 % de Marca no aparece en el puntaje que el sistema calcula.</w:t>
      </w:r>
      <w:r>
        <w:rPr>
          <w:rFonts w:ascii="Calibri" w:hAnsi="Calibri"/>
          <w:b w:val="0"/>
          <w:color w:val="2B2B2B"/>
          <w:sz w:val="22"/>
        </w:rPr>
        <w:t xml:space="preserve"> La Tabla 38 (p. 145) documenta </w:t>
      </w:r>
      <w:r>
        <w:rPr>
          <w:rFonts w:ascii="Consolas" w:hAnsi="Consolas"/>
          <w:color w:val="111111"/>
          <w:sz w:val="21"/>
        </w:rPr>
        <w:t>usp_AnalisisProveedor_ListarPorLicitacion</w:t>
      </w:r>
      <w:r>
        <w:rPr>
          <w:rFonts w:ascii="Calibri" w:hAnsi="Calibri"/>
          <w:b w:val="0"/>
          <w:color w:val="2B2B2B"/>
          <w:sz w:val="22"/>
        </w:rPr>
        <w:t xml:space="preserve"> como el procedimiento que lista «todas las calificaciones y el puntaje total», y su salida trae cinco: </w:t>
      </w:r>
      <w:r>
        <w:rPr>
          <w:rFonts w:ascii="Consolas" w:hAnsi="Consolas"/>
          <w:color w:val="111111"/>
          <w:sz w:val="21"/>
        </w:rPr>
        <w:t>CalifPrecio</w:t>
      </w:r>
      <w:r>
        <w:rPr>
          <w:rFonts w:ascii="Calibri" w:hAnsi="Calibri"/>
          <w:b w:val="0"/>
          <w:color w:val="2B2B2B"/>
          <w:sz w:val="22"/>
        </w:rPr>
        <w:t xml:space="preserve">, </w:t>
      </w:r>
      <w:r>
        <w:rPr>
          <w:rFonts w:ascii="Consolas" w:hAnsi="Consolas"/>
          <w:color w:val="111111"/>
          <w:sz w:val="21"/>
        </w:rPr>
        <w:t>CalifTiempoEntrega</w:t>
      </w:r>
      <w:r>
        <w:rPr>
          <w:rFonts w:ascii="Calibri" w:hAnsi="Calibri"/>
          <w:b w:val="0"/>
          <w:color w:val="2B2B2B"/>
          <w:sz w:val="22"/>
        </w:rPr>
        <w:t xml:space="preserve">, </w:t>
      </w:r>
      <w:r>
        <w:rPr>
          <w:rFonts w:ascii="Consolas" w:hAnsi="Consolas"/>
          <w:color w:val="111111"/>
          <w:sz w:val="21"/>
        </w:rPr>
        <w:t>CalifPlazoPago</w:t>
      </w:r>
      <w:r>
        <w:rPr>
          <w:rFonts w:ascii="Calibri" w:hAnsi="Calibri"/>
          <w:b w:val="0"/>
          <w:color w:val="2B2B2B"/>
          <w:sz w:val="22"/>
        </w:rPr>
        <w:t xml:space="preserve">, </w:t>
      </w:r>
      <w:r>
        <w:rPr>
          <w:rFonts w:ascii="Consolas" w:hAnsi="Consolas"/>
          <w:color w:val="111111"/>
          <w:sz w:val="21"/>
        </w:rPr>
        <w:t>CalifCapacidadFinanciera</w:t>
      </w:r>
      <w:r>
        <w:rPr>
          <w:rFonts w:ascii="Calibri" w:hAnsi="Calibri"/>
          <w:b w:val="0"/>
          <w:color w:val="2B2B2B"/>
          <w:sz w:val="22"/>
        </w:rPr>
        <w:t xml:space="preserve"> y </w:t>
      </w:r>
      <w:r>
        <w:rPr>
          <w:rFonts w:ascii="Consolas" w:hAnsi="Consolas"/>
          <w:color w:val="111111"/>
          <w:sz w:val="21"/>
        </w:rPr>
        <w:t>CalifValorAgregado</w:t>
      </w:r>
      <w:r>
        <w:rPr>
          <w:rFonts w:ascii="Calibri" w:hAnsi="Calibri"/>
          <w:b w:val="0"/>
          <w:color w:val="2B2B2B"/>
          <w:sz w:val="22"/>
        </w:rPr>
        <w:t xml:space="preserve">, más </w:t>
      </w:r>
      <w:r>
        <w:rPr>
          <w:rFonts w:ascii="Consolas" w:hAnsi="Consolas"/>
          <w:color w:val="111111"/>
          <w:sz w:val="21"/>
        </w:rPr>
        <w:t>MarcaOfertada</w:t>
      </w:r>
      <w:r>
        <w:rPr>
          <w:rFonts w:ascii="Calibri" w:hAnsi="Calibri"/>
          <w:b w:val="0"/>
          <w:color w:val="2B2B2B"/>
          <w:sz w:val="22"/>
        </w:rPr>
        <w:t xml:space="preserve"> como dato. </w:t>
      </w:r>
      <w:r>
        <w:rPr>
          <w:rFonts w:ascii="Calibri" w:hAnsi="Calibri"/>
          <w:b/>
          <w:color w:val="2B2B2B"/>
          <w:sz w:val="22"/>
        </w:rPr>
        <w:t>`CalifMarca` no existe en ninguna de las 249 páginas</w:t>
      </w:r>
      <w:r>
        <w:rPr>
          <w:rFonts w:ascii="Calibri" w:hAnsi="Calibri"/>
          <w:b w:val="0"/>
          <w:color w:val="2B2B2B"/>
          <w:sz w:val="22"/>
        </w:rPr>
        <w:t xml:space="preserve">, y Marca pesa 20 % (p. 143). Concuerda con las dos definiciones incompatibles del Proveedor Sugerido: solo precio en la vista de análisis —«tiene en cuenta las ofertas más economicas por item por ciudad», p. 142— y cinco criterios sin Marca en la prueba de la Figura 78 (p. 217). «Sugerido» solo aparece en esas dos páginas y en ningún </w:t>
      </w:r>
      <w:r>
        <w:rPr>
          <w:rFonts w:ascii="Consolas" w:hAnsi="Consolas"/>
          <w:color w:val="111111"/>
          <w:sz w:val="21"/>
        </w:rPr>
        <w:t>usp_</w:t>
      </w:r>
      <w:r>
        <w:rPr>
          <w:rFonts w:ascii="Calibri" w:hAnsi="Calibri"/>
          <w:b w:val="0"/>
          <w:color w:val="2B2B2B"/>
          <w:sz w:val="22"/>
        </w:rPr>
        <w:t xml:space="preserve">. Es el sustento de la </w:t>
      </w:r>
      <w:r>
        <w:rPr>
          <w:rFonts w:ascii="Calibri" w:hAnsi="Calibri"/>
          <w:b/>
          <w:color w:val="2B2B2B"/>
          <w:sz w:val="22"/>
        </w:rPr>
        <w:t>pregunta 1</w:t>
      </w:r>
      <w:r>
        <w:rPr>
          <w:rFonts w:ascii="Calibri" w:hAnsi="Calibri"/>
          <w:b w:val="0"/>
          <w:color w:val="2B2B2B"/>
          <w:sz w:val="22"/>
        </w:rPr>
        <w:t xml:space="preserve"> y el hueco que más pesa sobre el OE3. El mazo ni ayuda ni estorba: no proyecta una sola fórmula y su diapositiva de implementación es una imagen (§5, punto 13), así que esta pregunta hay que hacerla con artefacto en pantalla.</w:t>
      </w:r>
    </w:p>
    <w:p>
      <w:pPr>
        <w:pStyle w:val="ListNumber"/>
      </w:pPr>
      <w:r>
        <w:rPr>
          <w:rFonts w:ascii="Calibri" w:hAnsi="Calibri"/>
          <w:b/>
          <w:color w:val="2B2B2B"/>
          <w:sz w:val="22"/>
        </w:rPr>
        <w:t>El mismo resultado se reporta con dos cifras.</w:t>
      </w:r>
      <w:r>
        <w:rPr>
          <w:rFonts w:ascii="Calibri" w:hAnsi="Calibri"/>
          <w:b w:val="0"/>
          <w:color w:val="2B2B2B"/>
          <w:sz w:val="22"/>
        </w:rPr>
        <w:t xml:space="preserve"> El salto 35 % → 88 % aparece como «+151,4 %» en la Tabla 55 (p. 233) y como «53 %» / «mejora significativa (53 %)» en el texto (pp. 232 y 236). Ambas son operaciones legítimas —relativa y en puntos porcentuales— pero conviven sin explicación en el mismo capítulo. Ninguna de las dos se proyecta: «151» y «53» dan cero coincidencias en el mazo (§5, punto 1), así que si la contradicción no se pregunta, no sale.</w:t>
      </w:r>
    </w:p>
    <w:p>
      <w:pPr>
        <w:pStyle w:val="ListNumber"/>
      </w:pPr>
      <w:r>
        <w:rPr>
          <w:rFonts w:ascii="Calibri" w:hAnsi="Calibri"/>
          <w:b/>
          <w:color w:val="2B2B2B"/>
          <w:sz w:val="22"/>
        </w:rPr>
        <w:t>El acta de aceptación, que es la evidencia formal del objetivo 3, sigue marcada «(pendiente)»</w:t>
      </w:r>
      <w:r>
        <w:rPr>
          <w:rFonts w:ascii="Calibri" w:hAnsi="Calibri"/>
          <w:b w:val="0"/>
          <w:color w:val="2B2B2B"/>
          <w:sz w:val="22"/>
        </w:rPr>
        <w:t xml:space="preserve"> (p. 73) y no está en los anexos (pp. 248-249). El sustento del 100 % de UAT son dos figuras de matriz (pp. 229-230), no un documento firmado por el cliente.</w:t>
      </w:r>
    </w:p>
    <w:p>
      <w:pPr>
        <w:pStyle w:val="ListNumber"/>
      </w:pPr>
      <w:r>
        <w:rPr>
          <w:rFonts w:ascii="Calibri" w:hAnsi="Calibri"/>
          <w:b/>
          <w:color w:val="2B2B2B"/>
          <w:sz w:val="22"/>
        </w:rPr>
        <w:t>Las pruebas de seguridad básica se anuncian y no se reportan.</w:t>
      </w:r>
      <w:r>
        <w:rPr>
          <w:rFonts w:ascii="Calibri" w:hAnsi="Calibri"/>
          <w:b w:val="0"/>
          <w:color w:val="2B2B2B"/>
          <w:sz w:val="22"/>
        </w:rPr>
        <w:t xml:space="preserve"> Están en el plan de validación (p. 68) y el trabajo invoca ISO/IEC 27001:2022, RBAC, registro de eventos y protección de credenciales como justificación (p. 27), pero el capítulo de resultados solo declara pruebas funcionales, de integración y de usabilidad (p. 228). Es información financiera de proveedores, y no es hipotética: los ingresos e inventarios en pesos por proveedor con razón social son legibles como texto en la p. 157, y los precios unitarios ofertados en las pp. 110-113. Además el módulo de ofertas es una interfaz externa para proveedores (p. 227) y la p. 192 imprime en texto las direcciones de los servidores de prueba y de producción. En la sustentación el vacío se convierte en afirmación: la diapositiva 13 concluye que el UAT «confirmó que el software posee la robustez técnica … necesaria para la toma de decisiones financieras» (§5, punto 10).</w:t>
      </w:r>
    </w:p>
    <w:p>
      <w:pPr>
        <w:pStyle w:val="ListNumber"/>
      </w:pPr>
      <w:r>
        <w:rPr>
          <w:rFonts w:ascii="Calibri" w:hAnsi="Calibri"/>
          <w:b/>
          <w:color w:val="2B2B2B"/>
          <w:sz w:val="22"/>
        </w:rPr>
        <w:t>La metodología está escrita en futuro y el resumen también.</w:t>
      </w:r>
      <w:r>
        <w:rPr>
          <w:rFonts w:ascii="Calibri" w:hAnsi="Calibri"/>
          <w:b w:val="0"/>
          <w:color w:val="2B2B2B"/>
          <w:sz w:val="22"/>
        </w:rPr>
        <w:t xml:space="preserve"> «Se realizará», «se medirá», «se evaluarán», «El proyecto se ejecutará» (pp. 64-77); el resumen dice «la implementación on-premise </w:t>
      </w:r>
      <w:r>
        <w:rPr>
          <w:rFonts w:ascii="Calibri" w:hAnsi="Calibri"/>
          <w:b/>
          <w:color w:val="2B2B2B"/>
          <w:sz w:val="22"/>
        </w:rPr>
        <w:t>incluirá</w:t>
      </w:r>
      <w:r>
        <w:rPr>
          <w:rFonts w:ascii="Calibri" w:hAnsi="Calibri"/>
          <w:b w:val="0"/>
          <w:color w:val="2B2B2B"/>
          <w:sz w:val="22"/>
        </w:rPr>
        <w:t xml:space="preserve"> un plan de gestión del cambio» (p. 16) cuando ya se ejecutó (p. 232). El capítulo de anteproyecto no se reescribió en pasado tras la ejecución.</w:t>
      </w:r>
    </w:p>
    <w:p>
      <w:pPr>
        <w:pStyle w:val="ListNumber"/>
      </w:pPr>
      <w:r>
        <w:rPr>
          <w:rFonts w:ascii="Calibri" w:hAnsi="Calibri"/>
          <w:b/>
          <w:color w:val="2B2B2B"/>
          <w:sz w:val="22"/>
        </w:rPr>
        <w:t>Los formatos de observación en blanco quedaron dentro del cuerpo.</w:t>
      </w:r>
      <w:r>
        <w:rPr>
          <w:rFonts w:ascii="Calibri" w:hAnsi="Calibri"/>
          <w:b w:val="0"/>
          <w:color w:val="2B2B2B"/>
          <w:sz w:val="22"/>
        </w:rPr>
        <w:t xml:space="preserve"> Las tablas 16, 17 y 18 están vacías, con «Fecha de observación», «Investigador» y «Participantes observados» sin diligenciar (pp. 94-95), y las versiones con datos aparecen después como tablas 19 y 20 (pp. 97-100). Por eso no se puede fechar la medición de la línea base.</w:t>
      </w:r>
    </w:p>
    <w:p>
      <w:pPr>
        <w:pStyle w:val="ListNumber"/>
      </w:pPr>
      <w:r>
        <w:rPr>
          <w:rFonts w:ascii="Calibri" w:hAnsi="Calibri"/>
          <w:b/>
          <w:color w:val="2B2B2B"/>
          <w:sz w:val="22"/>
        </w:rPr>
        <w:t>Restos de edición y referencias cruzadas rotas.</w:t>
      </w:r>
      <w:r>
        <w:rPr>
          <w:rFonts w:ascii="Calibri" w:hAnsi="Calibri"/>
          <w:b w:val="0"/>
          <w:color w:val="2B2B2B"/>
          <w:sz w:val="22"/>
        </w:rPr>
        <w:t xml:space="preserve"> «(</w:t>
      </w:r>
      <w:r>
        <w:rPr>
          <w:rFonts w:ascii="Consolas" w:hAnsi="Consolas"/>
          <w:color w:val="111111"/>
          <w:sz w:val="21"/>
        </w:rPr>
        <w:t>**</w:t>
      </w:r>
      <w:r>
        <w:rPr>
          <w:rFonts w:ascii="Calibri" w:hAnsi="Calibri"/>
          <w:b w:val="0"/>
          <w:color w:val="2B2B2B"/>
          <w:sz w:val="22"/>
        </w:rPr>
        <w:t xml:space="preserve">)» suelto (p. 65); «(Nota: ajustado a entorno on-premise según su objetivo)» (p. 73); «Fase agregada para cubrir íntegramente su cuarto objetivo» (p. 74) —anotaciones en segunda persona dirigidas a un tercero—; «Tabla B-1» (p. 93, cuando la real es la Tabla 15 de la p. 94) y «Tabla B-5» (p. 105, cuando la real es la Tabla 21 de la p. 104), que no existen con esa nomenclatura; «Tabla K» (p. 237, por la Tabla 55); «tabla 52» por Tabla 54 (p. 226) —y agrava el error que la Tabla 52 sí exista: es «Objetos de datos del proceso TO-BE», p. 175—; «tabla 53» por Tabla 55 (p. 232), cuando la Tabla 53 real es la matriz comparativa AS-IS/TO-BE de la p. 225; «figura 83» por Figura 89 (p. 231), cuando la Figura 83 real es «Visualización de la confirmación del envío de correos», p. 220; </w:t>
      </w:r>
      <w:r>
        <w:rPr>
          <w:rFonts w:ascii="Calibri" w:hAnsi="Calibri"/>
          <w:b/>
          <w:color w:val="2B2B2B"/>
          <w:sz w:val="22"/>
        </w:rPr>
        <w:t>las Figuras 84, 85 y 86 están numeradas dos veces</w:t>
      </w:r>
      <w:r>
        <w:rPr>
          <w:rFonts w:ascii="Calibri" w:hAnsi="Calibri"/>
          <w:b w:val="0"/>
          <w:color w:val="2B2B2B"/>
          <w:sz w:val="22"/>
        </w:rPr>
        <w:t xml:space="preserve"> —capturas de prueba en las pp. 220-222 y gráficos de resultados en las pp. 236-237, y la que está en los índices es la captura, no el gráfico: </w:t>
      </w:r>
      <w:r>
        <w:rPr>
          <w:rFonts w:ascii="Calibri" w:hAnsi="Calibri"/>
          <w:b/>
          <w:color w:val="2B2B2B"/>
          <w:sz w:val="22"/>
        </w:rPr>
        <w:t>no se dice «Figura 84» en voz alta</w:t>
      </w:r>
      <w:r>
        <w:rPr>
          <w:rFonts w:ascii="Calibri" w:hAnsi="Calibri"/>
          <w:b w:val="0"/>
          <w:color w:val="2B2B2B"/>
          <w:sz w:val="22"/>
        </w:rPr>
        <w:t xml:space="preserve">—; «seis fases» cuando la matriz tiene siete (pp. 72, 78 vs. p. 74); una sección «7.2.2 Indicadores Clave» incrustada dentro del capítulo 6 (p. 76) y el rótulo «7.2.3» usado dos veces, para «Criterios de evaluación multicriterio» (p. 155) y para «Requerimientos Técnicos del Sistema» (p. 158); «Responde La transformación digital…» (p. 25); «1 Tabla de» como título del índice (p. 3). </w:t>
      </w:r>
      <w:r>
        <w:rPr>
          <w:rFonts w:ascii="Calibri" w:hAnsi="Calibri"/>
          <w:b/>
          <w:color w:val="2B2B2B"/>
          <w:sz w:val="22"/>
        </w:rPr>
        <w:t>No se preguntan en sala</w:t>
      </w:r>
      <w:r>
        <w:rPr>
          <w:rFonts w:ascii="Calibri" w:hAnsi="Calibri"/>
          <w:b w:val="0"/>
          <w:color w:val="2B2B2B"/>
          <w:sz w:val="22"/>
        </w:rPr>
        <w:t>: se anotan como dato sobre el cuidado del documento y como insumo para la Dirección.</w:t>
      </w:r>
    </w:p>
    <w:p>
      <w:pPr>
        <w:pStyle w:val="ListNumber"/>
      </w:pPr>
      <w:r>
        <w:rPr>
          <w:rFonts w:ascii="Calibri" w:hAnsi="Calibri"/>
          <w:b/>
          <w:color w:val="2B2B2B"/>
          <w:sz w:val="22"/>
        </w:rPr>
        <w:t>Seis fuentes citadas en el texto no están en la lista de referencias:</w:t>
      </w:r>
      <w:r>
        <w:rPr>
          <w:rFonts w:ascii="Calibri" w:hAnsi="Calibri"/>
          <w:b w:val="0"/>
          <w:color w:val="2B2B2B"/>
          <w:sz w:val="22"/>
        </w:rPr>
        <w:t xml:space="preserve"> Dumas et al. (2018) (pp. 36, 45, 53), Laudon y Laudon (2020) (pp. 45, 53), Bass, Clements &amp; Kazman (2012) (p. 48), PMI (2021) (p. 65), Schwaber y Sutherland (2020) (p. 67) y Hiatt (2006) (p. 75) —el autor del modelo ADKAR, que es uno de los cuatro marcos del trabajo—. La lista trae 21 entradas (pp. 244-247), no está en orden alfabético estricto (AXELOS antes de Arguedas y Armas; Bayona antes de Baiges) y una URL quedó con «https:// https://» (p. 245). La presentación repite el mismo descuido a mayor escala —13 obras citadas en pantalla sin entrada en su diapositiva de referencias, tres de ellas exactamente estas— y ahí están, además, los cinco antecedentes que ocupan tres diapositivas (§5, punto 9).</w:t>
      </w:r>
    </w:p>
    <w:p>
      <w:pPr>
        <w:pStyle w:val="ListNumber"/>
      </w:pPr>
      <w:r>
        <w:rPr>
          <w:rFonts w:ascii="Calibri" w:hAnsi="Calibri"/>
          <w:b/>
          <w:color w:val="2B2B2B"/>
          <w:sz w:val="22"/>
        </w:rPr>
        <w:t>No hay cronograma, presupuesto ni reporte de similitud.</w:t>
      </w:r>
      <w:r>
        <w:rPr>
          <w:rFonts w:ascii="Calibri" w:hAnsi="Calibri"/>
          <w:b w:val="0"/>
          <w:color w:val="2B2B2B"/>
          <w:sz w:val="22"/>
        </w:rPr>
        <w:t xml:space="preserve"> Búsqueda de texto sobre las 249 páginas: «cronograma» solo aparece como ítem de planificación PMBOK (p. 66), «presupuesto» solo como presupuesto oficial de una licitación (p. 157), y «Turnitin»/«similitud» no aparecen. La rúbrica de ACA 3 pesa 15 % en cronograma-presupuesto-viabilidad y 15 % en integridad; es del metodólogo, pero se registra.</w:t>
      </w:r>
    </w:p>
    <w:p>
      <w:pPr>
        <w:pStyle w:val="ListNumber"/>
      </w:pPr>
      <w:r>
        <w:rPr>
          <w:rFonts w:ascii="Calibri" w:hAnsi="Calibri"/>
          <w:b/>
          <w:color w:val="2B2B2B"/>
          <w:sz w:val="22"/>
        </w:rPr>
        <w:t>El enfoque mixto está mal enunciado en su propia frase:</w:t>
      </w:r>
      <w:r>
        <w:rPr>
          <w:rFonts w:ascii="Calibri" w:hAnsi="Calibri"/>
          <w:b w:val="0"/>
          <w:color w:val="2B2B2B"/>
          <w:sz w:val="22"/>
        </w:rPr>
        <w:t xml:space="preserve"> «técnicas cualitativas (observación directa, entrevistas semiestructuradas) y cuantitativas (entrevistas semiestructuradas)» (p. 64). Lo cuantitativo del trabajo son los KPI de proceso, no las entrevistas. En pantalla el enunciado se arregla por otra vía y se rompe por dos: la diapositiva 10 declara un diseño que el documento nunca nombra y deja la observación directa fuera de la lista de instrumentos (§5, puntos 5 y 6).</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Proyecto II - Sistema Licitaciones Web.pdf</w:t>
      </w:r>
      <w:r>
        <w:rPr>
          <w:rFonts w:ascii="Calibri" w:hAnsi="Calibri"/>
          <w:b w:val="0"/>
          <w:color w:val="2B2B2B"/>
          <w:sz w:val="22"/>
        </w:rPr>
        <w:t xml:space="preserve"> — </w:t>
      </w:r>
      <w:r>
        <w:rPr>
          <w:rFonts w:ascii="Calibri" w:hAnsi="Calibri"/>
          <w:b/>
          <w:color w:val="2B2B2B"/>
          <w:sz w:val="22"/>
        </w:rPr>
        <w:t>16 diapositivas</w:t>
      </w:r>
      <w:r>
        <w:rPr>
          <w:rFonts w:ascii="Calibri" w:hAnsi="Calibri"/>
          <w:b w:val="0"/>
          <w:color w:val="2B2B2B"/>
          <w:sz w:val="22"/>
        </w:rPr>
        <w:t xml:space="preserve"> (1 portada · 2 introducción · 3 planteamiento del problema y pregunta central · 4 objetivos · 5 justificación, alcances y limitaciones · 6 marco referencial · 7 antecedentes en tabla · 8 la misma tabla otra vez, sin título · 9 los mismos cinco antecedentes en viñetas · 10 metodología · 11 «Resultados: Modelo Anterior AS-IS / Modelo Optimizado TO-BE» · 12 «Resultados: Arquitectura del sistema / Implementación sistema» · 13 conclusiones · 14 recomendaciones e implicaciones · 15 referencias · 16 «Preguntas»).</w:t>
      </w:r>
    </w:p>
    <w:p>
      <w:r>
        <w:rPr>
          <w:rFonts w:ascii="Calibri" w:hAnsi="Calibri"/>
          <w:b w:val="0"/>
          <w:color w:val="2B2B2B"/>
          <w:sz w:val="22"/>
        </w:rPr>
        <w:t xml:space="preserve">El mazo tiene un rasgo que decide cómo hay que entrar a esta sala: </w:t>
      </w:r>
      <w:r>
        <w:rPr>
          <w:rFonts w:ascii="Calibri" w:hAnsi="Calibri"/>
          <w:b/>
          <w:color w:val="2B2B2B"/>
          <w:sz w:val="22"/>
        </w:rPr>
        <w:t>cuantifica el problema y deja el resultado en adjetivos</w:t>
      </w:r>
      <w:r>
        <w:rPr>
          <w:rFonts w:ascii="Calibri" w:hAnsi="Calibri"/>
          <w:b w:val="0"/>
          <w:color w:val="2B2B2B"/>
          <w:sz w:val="22"/>
        </w:rPr>
        <w:t xml:space="preserve">. La diapositiva 3 proyecta cuatro cifras del proceso manual —25 listas por ciclo, 7.241 productos, 10 a 15 días, 5 funcionarios— y las dos diapositivas de resultados, la 11 y la 12, son rótulos sobre imágenes: 58 y 59 caracteres de texto entre las dos. Búsqueda de cadenas sobre las 16 diapositivas: «12,5», «4,8», «61,6», «32», «0,5», «50 %», «0 %», «35», «88», «151», «53», «KPI», «junio» → </w:t>
      </w:r>
      <w:r>
        <w:rPr>
          <w:rFonts w:ascii="Calibri" w:hAnsi="Calibri"/>
          <w:b/>
          <w:color w:val="2B2B2B"/>
          <w:sz w:val="22"/>
        </w:rPr>
        <w:t>cero coincidencias todas</w:t>
      </w:r>
      <w:r>
        <w:rPr>
          <w:rFonts w:ascii="Calibri" w:hAnsi="Calibri"/>
          <w:b w:val="0"/>
          <w:color w:val="2B2B2B"/>
          <w:sz w:val="22"/>
        </w:rPr>
        <w:t xml:space="preserve">. Es decir: el trabajo mejor medido de la jornada llega a la sustentación </w:t>
      </w:r>
      <w:r>
        <w:rPr>
          <w:rFonts w:ascii="Calibri" w:hAnsi="Calibri"/>
          <w:b/>
          <w:color w:val="2B2B2B"/>
          <w:sz w:val="22"/>
        </w:rPr>
        <w:t>sin un solo número de resultados</w:t>
      </w:r>
      <w:r>
        <w:rPr>
          <w:rFonts w:ascii="Calibri" w:hAnsi="Calibri"/>
          <w:b w:val="0"/>
          <w:color w:val="2B2B2B"/>
          <w:sz w:val="22"/>
        </w:rPr>
        <w:t>, y con él se queda fuera el hecho más fuerte que tiene —un sistema en operación real desde el 1 de junio de 2026—. Los tres reparos numéricos del documento (§4, puntos 2 y 4) no se pueden pillar oyendo: hay que preguntarlos. Y el mazo se hace daño solo, porque lo que esconde no es un hueco sino su propio logro.</w:t>
      </w:r>
    </w:p>
    <w:p>
      <w:pPr>
        <w:pStyle w:val="ListNumber"/>
      </w:pPr>
      <w:r>
        <w:rPr>
          <w:rFonts w:ascii="Calibri" w:hAnsi="Calibri"/>
          <w:b/>
          <w:color w:val="2B2B2B"/>
          <w:sz w:val="22"/>
        </w:rPr>
        <w:t>Ningún número de resultados llega a la pantalla.</w:t>
      </w:r>
      <w:r>
        <w:rPr>
          <w:rFonts w:ascii="Calibri" w:hAnsi="Calibri"/>
          <w:b w:val="0"/>
          <w:color w:val="2B2B2B"/>
          <w:sz w:val="22"/>
        </w:rPr>
        <w:t xml:space="preserve"> Lo que la Tabla 55 (p. 233) y la p. 236 miden y el mazo no proyecta: ciclo 12,5 → 4,8 días (−61,6 %), consolidación y evaluación 32 h → 0,5 h, errores 50 % → 0 %, madurez 35 % → 88 %, y las dos aritméticas con que ese último salto se reporta (+151,4 % y 53 %). Tampoco llega el 100 % de conformidad del UAT (p. 231) ni la fecha de puesta en operación (p. 181): «UAT» aparece una sola vez en las 16 diapositivas, en el objetivo de la diapositiva 4, y nunca en resultados. Las diapositivas 11 y 12 llevan tres imágenes cada una y por texto solo sus dos rótulos. La única cifra de resultado que sobrevive en el mazo es «10 licitaciones», dentro de la conclusión de la diapositiva 13.</w:t>
      </w:r>
    </w:p>
    <w:p>
      <w:pPr>
        <w:pStyle w:val="ListNumber"/>
      </w:pPr>
      <w:r>
        <w:rPr>
          <w:rFonts w:ascii="Calibri" w:hAnsi="Calibri"/>
          <w:b/>
          <w:color w:val="2B2B2B"/>
          <w:sz w:val="22"/>
        </w:rPr>
        <w:t>El mazo sí cuantifica el problema, y eso agranda la asimetría.</w:t>
      </w:r>
      <w:r>
        <w:rPr>
          <w:rFonts w:ascii="Calibri" w:hAnsi="Calibri"/>
          <w:b w:val="0"/>
          <w:color w:val="2B2B2B"/>
          <w:sz w:val="22"/>
        </w:rPr>
        <w:t xml:space="preserve"> Los cuatro números de la diapositiva 3 salen del registro de observación: «Número promedio de categorías por licitación: 25», «Cantidad aproximada de registros analizados por licitación: 7.241 productos», «Entre diez (10) y quince (15) días hábiles», «5 analistas de compras. 1 directora administrativa» (todo en la p. 93). Dos matices que hay que llevar aprendidos: el documento dice </w:t>
      </w:r>
      <w:r>
        <w:rPr>
          <w:rFonts w:ascii="Calibri" w:hAnsi="Calibri"/>
          <w:b/>
          <w:color w:val="2B2B2B"/>
          <w:sz w:val="22"/>
        </w:rPr>
        <w:t>categorías</w:t>
      </w:r>
      <w:r>
        <w:rPr>
          <w:rFonts w:ascii="Calibri" w:hAnsi="Calibri"/>
          <w:b w:val="0"/>
          <w:color w:val="2B2B2B"/>
          <w:sz w:val="22"/>
        </w:rPr>
        <w:t xml:space="preserve">, no «listas», y dice «Entre 9 y 192 productos por categoría». Y la diapositiva 3 fija el ciclo manual en «10 a 15 días», que es el dato de la observación, mientras la línea base que la Tabla 55 le cobra al proyecto es </w:t>
      </w:r>
      <w:r>
        <w:rPr>
          <w:rFonts w:ascii="Calibri" w:hAnsi="Calibri"/>
          <w:b/>
          <w:color w:val="2B2B2B"/>
          <w:sz w:val="22"/>
        </w:rPr>
        <w:t>12,5 días</w:t>
      </w:r>
      <w:r>
        <w:rPr>
          <w:rFonts w:ascii="Calibri" w:hAnsi="Calibri"/>
          <w:b w:val="0"/>
          <w:color w:val="2B2B2B"/>
          <w:sz w:val="22"/>
        </w:rPr>
        <w:t xml:space="preserve"> (p. 100): el 12,5 no aparece en ninguna diapositiva, así que en pantalla las dos líneas base nunca se encuentran.</w:t>
      </w:r>
    </w:p>
    <w:p>
      <w:pPr>
        <w:pStyle w:val="ListNumber"/>
      </w:pPr>
      <w:r>
        <w:rPr>
          <w:rFonts w:ascii="Calibri" w:hAnsi="Calibri"/>
          <w:b/>
          <w:color w:val="2B2B2B"/>
          <w:sz w:val="22"/>
        </w:rPr>
        <w:t>La única cifra de ciclo que se proyecta es la proyección, no la medición.</w:t>
      </w:r>
      <w:r>
        <w:rPr>
          <w:rFonts w:ascii="Calibri" w:hAnsi="Calibri"/>
          <w:b w:val="0"/>
          <w:color w:val="2B2B2B"/>
          <w:sz w:val="22"/>
        </w:rPr>
        <w:t xml:space="preserve"> Diapositiva 5: «Reducción proyectada del ciclo: 10–15 días → 4–6 días». Es la promesa del anteproyecto sobreviviendo intacta en la sustentación de un trabajo terminado, y encima </w:t>
      </w:r>
      <w:r>
        <w:rPr>
          <w:rFonts w:ascii="Calibri" w:hAnsi="Calibri"/>
          <w:b/>
          <w:color w:val="2B2B2B"/>
          <w:sz w:val="22"/>
        </w:rPr>
        <w:t>subestima el propio resultado</w:t>
      </w:r>
      <w:r>
        <w:rPr>
          <w:rFonts w:ascii="Calibri" w:hAnsi="Calibri"/>
          <w:b w:val="0"/>
          <w:color w:val="2B2B2B"/>
          <w:sz w:val="22"/>
        </w:rPr>
        <w:t>: los 4,8 días medidos caen dentro de esa banda pero vienen de una base de 12,5 y con −61,6 % declarado. Si en sala se quedan en la palabra «proyectada», hay que darles a decir el dato medido (está previsto en la §7).</w:t>
      </w:r>
    </w:p>
    <w:p>
      <w:pPr>
        <w:pStyle w:val="ListNumber"/>
      </w:pPr>
      <w:r>
        <w:rPr>
          <w:rFonts w:ascii="Calibri" w:hAnsi="Calibri"/>
          <w:b/>
          <w:color w:val="2B2B2B"/>
          <w:sz w:val="22"/>
        </w:rPr>
        <w:t>De las dos promesas de la justificación, una está sustentada y la otra no; conviene no confundirlas.</w:t>
      </w:r>
      <w:r>
        <w:rPr>
          <w:rFonts w:ascii="Calibri" w:hAnsi="Calibri"/>
          <w:b w:val="0"/>
          <w:color w:val="2B2B2B"/>
          <w:sz w:val="22"/>
        </w:rPr>
        <w:t xml:space="preserve"> «Reporte exportable» (diap. 5) </w:t>
      </w:r>
      <w:r>
        <w:rPr>
          <w:rFonts w:ascii="Calibri" w:hAnsi="Calibri"/>
          <w:b/>
          <w:color w:val="2B2B2B"/>
          <w:sz w:val="22"/>
        </w:rPr>
        <w:t>sí</w:t>
      </w:r>
      <w:r>
        <w:rPr>
          <w:rFonts w:ascii="Calibri" w:hAnsi="Calibri"/>
          <w:b w:val="0"/>
          <w:color w:val="2B2B2B"/>
          <w:sz w:val="22"/>
        </w:rPr>
        <w:t xml:space="preserve"> tiene evidencia: la p. 218 prueba la función de exportar el análisis de la licitación a Excel —crédito y no pregunta—. «Potencial ahorro anual por optimización» (diap. 5) no: en las 249 páginas «ahorro» aparece </w:t>
      </w:r>
      <w:r>
        <w:rPr>
          <w:rFonts w:ascii="Calibri" w:hAnsi="Calibri"/>
          <w:b/>
          <w:color w:val="2B2B2B"/>
          <w:sz w:val="22"/>
        </w:rPr>
        <w:t>una sola vez</w:t>
      </w:r>
      <w:r>
        <w:rPr>
          <w:rFonts w:ascii="Calibri" w:hAnsi="Calibri"/>
          <w:b w:val="0"/>
          <w:color w:val="2B2B2B"/>
          <w:sz w:val="22"/>
        </w:rPr>
        <w:t>, en la p. 26, como «ahorros indirectos», sin cálculo, sin cifra y sin método. La palabra «potencial» la salva de ser una afirmación falsa, pero es exactamente el tipo de frase por la que un jurado pide número.</w:t>
      </w:r>
    </w:p>
    <w:p>
      <w:pPr>
        <w:pStyle w:val="ListNumber"/>
      </w:pPr>
      <w:r>
        <w:rPr>
          <w:rFonts w:ascii="Calibri" w:hAnsi="Calibri"/>
          <w:b/>
          <w:color w:val="2B2B2B"/>
          <w:sz w:val="22"/>
        </w:rPr>
        <w:t>La diapositiva 10 declara un diseño de investigación que el documento no nombra en ninguna parte.</w:t>
      </w:r>
      <w:r>
        <w:rPr>
          <w:rFonts w:ascii="Calibri" w:hAnsi="Calibri"/>
          <w:b w:val="0"/>
          <w:color w:val="2B2B2B"/>
          <w:sz w:val="22"/>
        </w:rPr>
        <w:t xml:space="preserve"> En pantalla: «No experimental – longitudinal con medición antes y después». Búsqueda sobre las 249 páginas: «longitudinal» → cero, «No experimental» → cero. El documento se queda en enfoque mixto e investigación aplicada (p. 64). Aquí el mazo es </w:t>
      </w:r>
      <w:r>
        <w:rPr>
          <w:rFonts w:ascii="Calibri" w:hAnsi="Calibri"/>
          <w:b/>
          <w:color w:val="2B2B2B"/>
          <w:sz w:val="22"/>
        </w:rPr>
        <w:t>más preciso y más comprometido</w:t>
      </w:r>
      <w:r>
        <w:rPr>
          <w:rFonts w:ascii="Calibri" w:hAnsi="Calibri"/>
          <w:b w:val="0"/>
          <w:color w:val="2B2B2B"/>
          <w:sz w:val="22"/>
        </w:rPr>
        <w:t xml:space="preserve"> que el documento: nombra bien el diseño, y al nombrarlo se obliga a mostrar una medición antes y después que ninguna diapositiva muestra. La misma diapositiva anuncia tres análisis —«Comparación de tiempos antes y después», «Medición de reducción de errores», «Evaluación de eficiencia operativa»— y los tres se quedan sin cifra (punto 1).</w:t>
      </w:r>
    </w:p>
    <w:p>
      <w:pPr>
        <w:pStyle w:val="ListNumber"/>
      </w:pPr>
      <w:r>
        <w:rPr>
          <w:rFonts w:ascii="Calibri" w:hAnsi="Calibri"/>
          <w:b/>
          <w:color w:val="2B2B2B"/>
          <w:sz w:val="22"/>
        </w:rPr>
        <w:t>La observación directa, que es la mejor evidencia del trabajo, no está en la lista de instrumentos.</w:t>
      </w:r>
      <w:r>
        <w:rPr>
          <w:rFonts w:ascii="Calibri" w:hAnsi="Calibri"/>
          <w:b w:val="0"/>
          <w:color w:val="2B2B2B"/>
          <w:sz w:val="22"/>
        </w:rPr>
        <w:t xml:space="preserve"> Diapositiva 10: «Entrevistas estructuradas, Modelado BPM, Historias de usuario, Pruebas funcionales, Indicadores de desempeño». «Observación» da </w:t>
      </w:r>
      <w:r>
        <w:rPr>
          <w:rFonts w:ascii="Calibri" w:hAnsi="Calibri"/>
          <w:b/>
          <w:color w:val="2B2B2B"/>
          <w:sz w:val="22"/>
        </w:rPr>
        <w:t>cero coincidencias en las 16 diapositivas</w:t>
      </w:r>
      <w:r>
        <w:rPr>
          <w:rFonts w:ascii="Calibri" w:hAnsi="Calibri"/>
          <w:b w:val="0"/>
          <w:color w:val="2B2B2B"/>
          <w:sz w:val="22"/>
        </w:rPr>
        <w:t xml:space="preserve">, cuando la p. 80 enumera «entrevistas semiestructuradas, observación directa del proceso, revisión documental» y el registro cronológico de 16 actividades con tiempos (pp. 97-99) es lo que sostiene toda la línea base. El mazo se queda con el fruto —los cuatro números de la diapositiva 3— y borra el instrumento que lo produjo. Se le suma el cambio de palabra: «Entrevistas </w:t>
      </w:r>
      <w:r>
        <w:rPr>
          <w:rFonts w:ascii="Calibri" w:hAnsi="Calibri"/>
          <w:b/>
          <w:color w:val="2B2B2B"/>
          <w:sz w:val="22"/>
        </w:rPr>
        <w:t>estructuradas</w:t>
      </w:r>
      <w:r>
        <w:rPr>
          <w:rFonts w:ascii="Calibri" w:hAnsi="Calibri"/>
          <w:b w:val="0"/>
          <w:color w:val="2B2B2B"/>
          <w:sz w:val="22"/>
        </w:rPr>
        <w:t xml:space="preserve">» donde el documento dice </w:t>
      </w:r>
      <w:r>
        <w:rPr>
          <w:rFonts w:ascii="Calibri" w:hAnsi="Calibri"/>
          <w:b/>
          <w:color w:val="2B2B2B"/>
          <w:sz w:val="22"/>
        </w:rPr>
        <w:t>semi</w:t>
      </w:r>
      <w:r>
        <w:rPr>
          <w:rFonts w:ascii="Calibri" w:hAnsi="Calibri"/>
          <w:b w:val="0"/>
          <w:color w:val="2B2B2B"/>
          <w:sz w:val="22"/>
        </w:rPr>
        <w:t>estructuradas (p. 80), que no es cosmético porque cambia el tipo de dato que se puede reclamar. Y la población se proyecta como «5 funcionarios del área de compras · 1 directora administrativa» —fiel a la p. 93— sin usar ni «censo» ni «muestreo intencional», con lo que la contradicción de las pp. 74 y 81 no aparece en pantalla: queda solo para la reserva del enfoque mixto.</w:t>
      </w:r>
    </w:p>
    <w:p>
      <w:pPr>
        <w:pStyle w:val="ListNumber"/>
      </w:pPr>
      <w:r>
        <w:rPr>
          <w:rFonts w:ascii="Calibri" w:hAnsi="Calibri"/>
          <w:b/>
          <w:color w:val="2B2B2B"/>
          <w:sz w:val="22"/>
        </w:rPr>
        <w:t>La madurez digital se proyecta como concepto tres veces y como cifra ninguna.</w:t>
      </w:r>
      <w:r>
        <w:rPr>
          <w:rFonts w:ascii="Calibri" w:hAnsi="Calibri"/>
          <w:b w:val="0"/>
          <w:color w:val="2B2B2B"/>
          <w:sz w:val="22"/>
        </w:rPr>
        <w:t xml:space="preserve"> Aparece en la diapositiva 4 (objetivo específico 4), en la 6 —«Madurez Digital: evolucionar el proceso de compras desde un nivel repetible hacia un nivel gestionado con métricas (Baiges, Lázaro &amp; García, 2024)»— y en la 14, como implicación: «Mayor madurez digital». </w:t>
      </w:r>
      <w:r>
        <w:rPr>
          <w:rFonts w:ascii="Calibri" w:hAnsi="Calibri"/>
          <w:b/>
          <w:color w:val="2B2B2B"/>
          <w:sz w:val="22"/>
        </w:rPr>
        <w:t>Precisión que hay que llevar bien aprendida para no acusar de invención:</w:t>
      </w:r>
      <w:r>
        <w:rPr>
          <w:rFonts w:ascii="Calibri" w:hAnsi="Calibri"/>
          <w:b w:val="0"/>
          <w:color w:val="2B2B2B"/>
          <w:sz w:val="22"/>
        </w:rPr>
        <w:t xml:space="preserve"> esa frase de la diapositiva 6 es la p. 55 palabra por palabra, y la p. 26 la repite; el mazo es fiel, no inventivo. Lo que el mazo omite es lo que el documento sí prometió y no cumplió: las cinco dimensiones en escala 1-5 antes y después de la p. 76 (§4, punto 1) y el 35 % → 88 % de las pp. 233 y 236. Consecuencia operativa: </w:t>
      </w:r>
      <w:r>
        <w:rPr>
          <w:rFonts w:ascii="Calibri" w:hAnsi="Calibri"/>
          <w:b/>
          <w:color w:val="2B2B2B"/>
          <w:sz w:val="22"/>
        </w:rPr>
        <w:t>la pregunta prioritaria 3 no se va a responder sola</w:t>
      </w:r>
      <w:r>
        <w:rPr>
          <w:rFonts w:ascii="Calibri" w:hAnsi="Calibri"/>
          <w:b w:val="0"/>
          <w:color w:val="2B2B2B"/>
          <w:sz w:val="22"/>
        </w:rPr>
        <w:t>; la exposición no la toca.</w:t>
      </w:r>
    </w:p>
    <w:p>
      <w:pPr>
        <w:pStyle w:val="ListNumber"/>
      </w:pPr>
      <w:r>
        <w:rPr>
          <w:rFonts w:ascii="Calibri" w:hAnsi="Calibri"/>
          <w:b/>
          <w:color w:val="2B2B2B"/>
          <w:sz w:val="22"/>
        </w:rPr>
        <w:t>Tres diapositivas de antecedentes contra dos de resultados.</w:t>
      </w:r>
      <w:r>
        <w:rPr>
          <w:rFonts w:ascii="Calibri" w:hAnsi="Calibri"/>
          <w:b w:val="0"/>
          <w:color w:val="2B2B2B"/>
          <w:sz w:val="22"/>
        </w:rPr>
        <w:t xml:space="preserve"> Las 7 y 8 son la misma tabla de cinco obras con contenido idéntico, y la 8 va </w:t>
      </w:r>
      <w:r>
        <w:rPr>
          <w:rFonts w:ascii="Calibri" w:hAnsi="Calibri"/>
          <w:b/>
          <w:color w:val="2B2B2B"/>
          <w:sz w:val="22"/>
        </w:rPr>
        <w:t>sin título</w:t>
      </w:r>
      <w:r>
        <w:rPr>
          <w:rFonts w:ascii="Calibri" w:hAnsi="Calibri"/>
          <w:b w:val="0"/>
          <w:color w:val="2B2B2B"/>
          <w:sz w:val="22"/>
        </w:rPr>
        <w:t xml:space="preserve">: parece una diapositiva duplicada que nadie borró. La 9 vuelve a listar los mismos cinco antecedentes, ahora en viñetas. Son 3 de 16 diapositivas —el 19 % del mazo— repitiendo lo mismo, mientras el capítulo de resultados se resuelve con dos rótulos. Con 20 minutos y tres evaluadores, cada minuto ahí es un minuto que no está en el sistema. </w:t>
      </w:r>
      <w:r>
        <w:rPr>
          <w:rFonts w:ascii="Calibri" w:hAnsi="Calibri"/>
          <w:b/>
          <w:color w:val="2B2B2B"/>
          <w:sz w:val="22"/>
        </w:rPr>
        <w:t>Va a la retroalimentación, no a la evaluación.</w:t>
      </w:r>
    </w:p>
    <w:p>
      <w:pPr>
        <w:pStyle w:val="ListNumber"/>
      </w:pPr>
      <w:r>
        <w:rPr>
          <w:rFonts w:ascii="Calibri" w:hAnsi="Calibri"/>
          <w:b/>
          <w:color w:val="2B2B2B"/>
          <w:sz w:val="22"/>
        </w:rPr>
        <w:t>Trece obras se citan en pantalla y no tienen entrada en la diapositiva de referencias.</w:t>
      </w:r>
      <w:r>
        <w:rPr>
          <w:rFonts w:ascii="Calibri" w:hAnsi="Calibri"/>
          <w:b w:val="0"/>
          <w:color w:val="2B2B2B"/>
          <w:sz w:val="22"/>
        </w:rPr>
        <w:t xml:space="preserve"> La 15 lista 8 entradas, y las 8 están citadas; faltan Bayona, Muñoz y Pérez (2022), Escudero y Haro (2023), ISO (2015), Bass, Clements &amp; Kazman (2012), Laudon (2020), Dumas et al. (2018), Baiges, Lázaro y García (2024), Saavedra, Hernández y Mendoza (2023), D'Cristofaro (2022), Bravo y Brauer (2023), González (2025), Chacón (2025) y Arquinigo y López (2025) —entre ellas </w:t>
      </w:r>
      <w:r>
        <w:rPr>
          <w:rFonts w:ascii="Calibri" w:hAnsi="Calibri"/>
          <w:b/>
          <w:color w:val="2B2B2B"/>
          <w:sz w:val="22"/>
        </w:rPr>
        <w:t>los cinco antecedentes que ocupan tres diapositivas</w:t>
      </w:r>
      <w:r>
        <w:rPr>
          <w:rFonts w:ascii="Calibri" w:hAnsi="Calibri"/>
          <w:b w:val="0"/>
          <w:color w:val="2B2B2B"/>
          <w:sz w:val="22"/>
        </w:rPr>
        <w:t xml:space="preserve"> y el autor del que se toma la definición de madurez digital—. Tres de las trece (Dumas, Laudon, Bass) son de las seis que también faltan en la lista del documento (§4, punto 10): el mismo descuido, dos veces. </w:t>
      </w:r>
      <w:r>
        <w:rPr>
          <w:rFonts w:ascii="Calibri" w:hAnsi="Calibri"/>
          <w:b/>
          <w:color w:val="2B2B2B"/>
          <w:sz w:val="22"/>
        </w:rPr>
        <w:t>No se pregunta en sala</w:t>
      </w:r>
      <w:r>
        <w:rPr>
          <w:rFonts w:ascii="Calibri" w:hAnsi="Calibri"/>
          <w:b w:val="0"/>
          <w:color w:val="2B2B2B"/>
          <w:sz w:val="22"/>
        </w:rPr>
        <w:t>: se anota como dato sobre el cuidado del material y como insumo para la retroalimentación.</w:t>
      </w:r>
    </w:p>
    <w:p>
      <w:pPr>
        <w:pStyle w:val="ListNumber"/>
      </w:pPr>
      <w:r>
        <w:rPr>
          <w:rFonts w:ascii="Calibri" w:hAnsi="Calibri"/>
          <w:b/>
          <w:color w:val="2B2B2B"/>
          <w:sz w:val="22"/>
        </w:rPr>
        <w:t>La conclusión de la diapositiva 13 afirma más de lo que el trabajo probó.</w:t>
      </w:r>
      <w:r>
        <w:rPr>
          <w:rFonts w:ascii="Calibri" w:hAnsi="Calibri"/>
          <w:b w:val="0"/>
          <w:color w:val="2B2B2B"/>
          <w:sz w:val="22"/>
        </w:rPr>
        <w:t xml:space="preserve"> Textual: la validación con 6 funcionarios «en un entorno real de 10 licitaciones confirmó que el software posee la </w:t>
      </w:r>
      <w:r>
        <w:rPr>
          <w:rFonts w:ascii="Calibri" w:hAnsi="Calibri"/>
          <w:b/>
          <w:color w:val="2B2B2B"/>
          <w:sz w:val="22"/>
        </w:rPr>
        <w:t>robustez técnica</w:t>
      </w:r>
      <w:r>
        <w:rPr>
          <w:rFonts w:ascii="Calibri" w:hAnsi="Calibri"/>
          <w:b w:val="0"/>
          <w:color w:val="2B2B2B"/>
          <w:sz w:val="22"/>
        </w:rPr>
        <w:t xml:space="preserve"> y usabilidad necesarias para la toma de decisiones </w:t>
      </w:r>
      <w:r>
        <w:rPr>
          <w:rFonts w:ascii="Calibri" w:hAnsi="Calibri"/>
          <w:b/>
          <w:color w:val="2B2B2B"/>
          <w:sz w:val="22"/>
        </w:rPr>
        <w:t>financieras</w:t>
      </w:r>
      <w:r>
        <w:rPr>
          <w:rFonts w:ascii="Calibri" w:hAnsi="Calibri"/>
          <w:b w:val="0"/>
          <w:color w:val="2B2B2B"/>
          <w:sz w:val="22"/>
        </w:rPr>
        <w:t xml:space="preserve"> y administrativas». Un UAT de aceptación con seis usuarios acredita aceptación y usabilidad; robustez técnica para decisiones financieras pediría las pruebas de seguridad que la metodología anunció (p. 68) y el capítulo de resultados no reporta (p. 228), sobre un sistema con interfaz externa para proveedores (p. 227). Es la frase que convierte el vacío del §4, punto 6, en una afirmación positiva, y por eso hay reserva propia para ella. </w:t>
      </w:r>
      <w:r>
        <w:rPr>
          <w:rFonts w:ascii="Calibri" w:hAnsi="Calibri"/>
          <w:b/>
          <w:color w:val="2B2B2B"/>
          <w:sz w:val="22"/>
        </w:rPr>
        <w:t>Crédito de la misma diapositiva:</w:t>
      </w:r>
      <w:r>
        <w:rPr>
          <w:rFonts w:ascii="Calibri" w:hAnsi="Calibri"/>
          <w:b w:val="0"/>
          <w:color w:val="2B2B2B"/>
          <w:sz w:val="22"/>
        </w:rPr>
        <w:t xml:space="preserve"> cierra con la mejor idea del trabajo —«desarrollar software sin gestionar el cambio cultural reduce drásticamente las probabilidades de éxito sistémico»—, que es aporte y no relleno. Aun así, </w:t>
      </w:r>
      <w:r>
        <w:rPr>
          <w:rFonts w:ascii="Calibri" w:hAnsi="Calibri"/>
          <w:b/>
          <w:color w:val="2B2B2B"/>
          <w:sz w:val="22"/>
        </w:rPr>
        <w:t>ninguna de sus conclusiones lleva un número.</w:t>
      </w:r>
    </w:p>
    <w:p>
      <w:pPr>
        <w:pStyle w:val="ListNumber"/>
      </w:pPr>
      <w:r>
        <w:rPr>
          <w:rFonts w:ascii="Calibri" w:hAnsi="Calibri"/>
          <w:b/>
          <w:color w:val="2B2B2B"/>
          <w:sz w:val="22"/>
        </w:rPr>
        <w:t>Las implicaciones de la diapositiva 14 son los dos KPI medidos, escritos sin sus cifras.</w:t>
      </w:r>
      <w:r>
        <w:rPr>
          <w:rFonts w:ascii="Calibri" w:hAnsi="Calibri"/>
          <w:b w:val="0"/>
          <w:color w:val="2B2B2B"/>
          <w:sz w:val="22"/>
        </w:rPr>
        <w:t xml:space="preserve"> «Reducción de tiempos. Mayor transparencia. Mayor madurez digital»: la primera y la tercera son exactamente el −61,6 % y el 35 → 88 % (p. 233), proyectados como adjetivos. En la misma diapositiva las recomendaciones son tres —«Integración futura con ERP», «Indicadores BI», «Firma electrónica»— y </w:t>
      </w:r>
      <w:r>
        <w:rPr>
          <w:rFonts w:ascii="Calibri" w:hAnsi="Calibri"/>
          <w:b/>
          <w:color w:val="2B2B2B"/>
          <w:sz w:val="22"/>
        </w:rPr>
        <w:t>ninguna menciona IA</w:t>
      </w:r>
      <w:r>
        <w:rPr>
          <w:rFonts w:ascii="Calibri" w:hAnsi="Calibri"/>
          <w:b w:val="0"/>
          <w:color w:val="2B2B2B"/>
          <w:sz w:val="22"/>
        </w:rPr>
        <w:t>, mientras el documento sí propone K-Means a futuro (p. 242). Efecto: el mazo conserva «inteligente» en el título de la diapositiva 1 y se queda sin la única salida que el documento le ofrecía a ese adjetivo. La reserva del título gana filo, no lo pierde.</w:t>
      </w:r>
    </w:p>
    <w:p>
      <w:pPr>
        <w:pStyle w:val="ListNumber"/>
      </w:pPr>
      <w:r>
        <w:rPr>
          <w:rFonts w:ascii="Calibri" w:hAnsi="Calibri"/>
          <w:b/>
          <w:color w:val="2B2B2B"/>
          <w:sz w:val="22"/>
        </w:rPr>
        <w:t>La pregunta central cambia de contenido al proyectarse.</w:t>
      </w:r>
      <w:r>
        <w:rPr>
          <w:rFonts w:ascii="Calibri" w:hAnsi="Calibri"/>
          <w:b w:val="0"/>
          <w:color w:val="2B2B2B"/>
          <w:sz w:val="22"/>
        </w:rPr>
        <w:t xml:space="preserve"> Documento (p. 23): «¿Cómo el diseño e implementación de un sistema web de licitaciones </w:t>
      </w:r>
      <w:r>
        <w:rPr>
          <w:rFonts w:ascii="Calibri" w:hAnsi="Calibri"/>
          <w:b/>
          <w:color w:val="2B2B2B"/>
          <w:sz w:val="22"/>
        </w:rPr>
        <w:t>basado en modelado BPM y evaluación multicriterio</w:t>
      </w:r>
      <w:r>
        <w:rPr>
          <w:rFonts w:ascii="Calibri" w:hAnsi="Calibri"/>
          <w:b w:val="0"/>
          <w:color w:val="2B2B2B"/>
          <w:sz w:val="22"/>
        </w:rPr>
        <w:t xml:space="preserve"> permitirá optimizar el proceso actual de compras, reduciendo tiempos de ciclo y mejorando la trazabilidad en la selección de proveedores?». Diapositiva 3: «¿Cómo diseñar e implementar un sistema web que optimice, automatice y fortalezca la trazabilidad del proceso de licitaciones, reduciendo tiempos y </w:t>
      </w:r>
      <w:r>
        <w:rPr>
          <w:rFonts w:ascii="Calibri" w:hAnsi="Calibri"/>
          <w:b/>
          <w:color w:val="2B2B2B"/>
          <w:sz w:val="22"/>
        </w:rPr>
        <w:t>aumentando eficiencia organizacional</w:t>
      </w:r>
      <w:r>
        <w:rPr>
          <w:rFonts w:ascii="Calibri" w:hAnsi="Calibri"/>
          <w:b w:val="0"/>
          <w:color w:val="2B2B2B"/>
          <w:sz w:val="22"/>
        </w:rPr>
        <w:t>?». Se caen los dos marcos que le dan identidad técnica al trabajo y entra un constructo que nunca se mide —la frase «eficiencia organizacional» existe en el documento, p. 61, pero no como variable—. La diapositiva 4 sí conserva BPM y MVC en los objetivos, así que la pérdida es solo de la pregunta.</w:t>
      </w:r>
    </w:p>
    <w:p>
      <w:pPr>
        <w:pStyle w:val="ListNumber"/>
      </w:pPr>
      <w:r>
        <w:rPr>
          <w:rFonts w:ascii="Calibri" w:hAnsi="Calibri"/>
          <w:b/>
          <w:color w:val="2B2B2B"/>
          <w:sz w:val="22"/>
        </w:rPr>
        <w:t>La arquitectura y la implementación se proyectan como imagen.</w:t>
      </w:r>
      <w:r>
        <w:rPr>
          <w:rFonts w:ascii="Calibri" w:hAnsi="Calibri"/>
          <w:b w:val="0"/>
          <w:color w:val="2B2B2B"/>
          <w:sz w:val="22"/>
        </w:rPr>
        <w:t xml:space="preserve"> La diapositiva 12 rotula «Arquitectura del sistema» e «Implementación sistema» sobre tres imágenes y 59 caracteres de texto; la 11 hace lo mismo con el AS-IS y el TO-BE. Como la diapositiva 4 mantiene </w:t>
      </w:r>
      <w:r>
        <w:rPr>
          <w:rFonts w:ascii="Calibri" w:hAnsi="Calibri"/>
          <w:b/>
          <w:color w:val="2B2B2B"/>
          <w:sz w:val="22"/>
        </w:rPr>
        <w:t>MVC</w:t>
      </w:r>
      <w:r>
        <w:rPr>
          <w:rFonts w:ascii="Calibri" w:hAnsi="Calibri"/>
          <w:b w:val="0"/>
          <w:color w:val="2B2B2B"/>
          <w:sz w:val="22"/>
        </w:rPr>
        <w:t xml:space="preserve"> en el objetivo general y en el OE2, ese diagrama es la única respuesta pública a la pregunta de la reserva de MVC: si dice «MVC», hay que pedir el controlador; si dice capas o cliente-servidor, la contradicción con el título queda proyectada por ellos mismos. Es lo primero que hay que leer en la pantalla.</w:t>
      </w:r>
    </w:p>
    <w:p>
      <w:pPr>
        <w:pStyle w:val="ListNumber"/>
      </w:pPr>
      <w:r>
        <w:rPr>
          <w:rFonts w:ascii="Calibri" w:hAnsi="Calibri"/>
          <w:b/>
          <w:color w:val="2B2B2B"/>
          <w:sz w:val="22"/>
        </w:rPr>
        <w:t>Lo que el mazo hace bien y conviene reconocer en voz alta.</w:t>
      </w:r>
      <w:r>
        <w:rPr>
          <w:rFonts w:ascii="Calibri" w:hAnsi="Calibri"/>
          <w:b w:val="0"/>
          <w:color w:val="2B2B2B"/>
          <w:sz w:val="22"/>
        </w:rPr>
        <w:t xml:space="preserve"> Los objetivos de la diapositiva 4 corresponden a los cuatro de la p. 24. Las Limitaciones de la diapositiva 5 son honestas y están donde deben —«No integración con ERP en esta fase», «Implementación On-premise», «Alcance limitado al proceso de licitación»—, aunque omiten la que mejor los defiende: que la adjudicación final sigue siendo humana (p. 226). El marco de la diapositiva 6 está bien poblado y con autores. Y la 16 es una diapositiva de «Preguntas»: </w:t>
      </w:r>
      <w:r>
        <w:rPr>
          <w:rFonts w:ascii="Calibri" w:hAnsi="Calibri"/>
          <w:b/>
          <w:color w:val="2B2B2B"/>
          <w:sz w:val="22"/>
        </w:rPr>
        <w:t>esperan ser preguntados</w:t>
      </w:r>
      <w:r>
        <w:rPr>
          <w:rFonts w:ascii="Calibri" w:hAnsi="Calibri"/>
          <w:b w:val="0"/>
          <w:color w:val="2B2B2B"/>
          <w:sz w:val="22"/>
        </w:rPr>
        <w:t>, que es la actitud correcta y también el permiso para entrar con las tres.</w:t>
      </w:r>
    </w:p>
    <w:p>
      <w:r>
        <w:rPr>
          <w:rFonts w:ascii="Calibri" w:hAnsi="Calibri"/>
          <w:b/>
          <w:color w:val="2B2B2B"/>
          <w:sz w:val="22"/>
        </w:rPr>
        <w:t>Forma del mazo (no se pregunta en sala):</w:t>
      </w:r>
      <w:r>
        <w:rPr>
          <w:rFonts w:ascii="Calibri" w:hAnsi="Calibri"/>
          <w:b w:val="0"/>
          <w:color w:val="2B2B2B"/>
          <w:sz w:val="22"/>
        </w:rPr>
        <w:t xml:space="preserve"> «entornos agroindustriales,,» con doble coma (diap. 2); comillas de cierre sueltas y «Chacon» sin tilde (diap. 9); «ASP .NET» con espacio (diap. 7 y 9). Los espacios que faltan en varias frases del texto extraído —«Alineacióncon», «Dávilaet al.», «yTransformaciónDigital»— pueden ser artefactos de la extracción del PDF y no errores de la diapositiva: </w:t>
      </w:r>
      <w:r>
        <w:rPr>
          <w:rFonts w:ascii="Calibri" w:hAnsi="Calibri"/>
          <w:b/>
          <w:color w:val="2B2B2B"/>
          <w:sz w:val="22"/>
        </w:rPr>
        <w:t>no se cuentan como reparo sin haberlos visto proyectados.</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Si dicen alguna cifra de resultado.</w:t>
      </w:r>
      <w:r>
        <w:rPr>
          <w:rFonts w:ascii="Calibri" w:hAnsi="Calibri"/>
          <w:b w:val="0"/>
          <w:color w:val="2B2B2B"/>
          <w:sz w:val="22"/>
        </w:rPr>
        <w:t xml:space="preserve"> Las cuatro que importan son 4,8 días, 0,5 horas, 0 % de error y 88 %. Si ninguna se dice, el trabajo se presentó sin sus resultados y eso pesa en claridad —y las preguntas 2 y 3 quedan obligadas.</w:t>
      </w:r>
    </w:p>
    <w:p>
      <w:pPr>
        <w:pStyle w:val="ListBullet"/>
      </w:pPr>
      <w:r>
        <w:rPr>
          <w:rFonts w:ascii="Calibri" w:hAnsi="Calibri"/>
          <w:b/>
          <w:color w:val="2B2B2B"/>
          <w:sz w:val="22"/>
        </w:rPr>
        <w:t>Si dicen «1 de junio de 2026» y «10 licitaciones».</w:t>
      </w:r>
      <w:r>
        <w:rPr>
          <w:rFonts w:ascii="Calibri" w:hAnsi="Calibri"/>
          <w:b w:val="0"/>
          <w:color w:val="2B2B2B"/>
          <w:sz w:val="22"/>
        </w:rPr>
        <w:t xml:space="preserve"> Es el hecho más fuerte que tienen y no está en ninguna diapositiva. Si lo dicen, se les reconoce; si no, hay que dárselo a decir antes de calificar.</w:t>
      </w:r>
    </w:p>
    <w:p>
      <w:pPr>
        <w:pStyle w:val="ListBullet"/>
      </w:pPr>
      <w:r>
        <w:rPr>
          <w:rFonts w:ascii="Calibri" w:hAnsi="Calibri"/>
          <w:b/>
          <w:color w:val="2B2B2B"/>
          <w:sz w:val="22"/>
        </w:rPr>
        <w:t>La diapositiva 5.</w:t>
      </w:r>
      <w:r>
        <w:rPr>
          <w:rFonts w:ascii="Calibri" w:hAnsi="Calibri"/>
          <w:b w:val="0"/>
          <w:color w:val="2B2B2B"/>
          <w:sz w:val="22"/>
        </w:rPr>
        <w:t xml:space="preserve"> Si leen «reducción proyectada» sin corregir a la medida, ahí entra la conditional de la §7: «¿cuál es el dato medido a hoy?».</w:t>
      </w:r>
    </w:p>
    <w:p>
      <w:pPr>
        <w:pStyle w:val="ListBullet"/>
      </w:pPr>
      <w:r>
        <w:rPr>
          <w:rFonts w:ascii="Calibri" w:hAnsi="Calibri"/>
          <w:b/>
          <w:color w:val="2B2B2B"/>
          <w:sz w:val="22"/>
        </w:rPr>
        <w:t>La diapositiva 10.</w:t>
      </w:r>
      <w:r>
        <w:rPr>
          <w:rFonts w:ascii="Calibri" w:hAnsi="Calibri"/>
          <w:b w:val="0"/>
          <w:color w:val="2B2B2B"/>
          <w:sz w:val="22"/>
        </w:rPr>
        <w:t xml:space="preserve"> Dos cosas en la misma frase: si dicen «estructuradas» o «semiestructuradas», y si mencionan la observación directa y el cronómetro de las pp. 97-99. Si la mencionan de viva voz, la reserva de la observación se cae y hay que reconocerlo.</w:t>
      </w:r>
    </w:p>
    <w:p>
      <w:pPr>
        <w:pStyle w:val="ListBullet"/>
      </w:pPr>
      <w:r>
        <w:rPr>
          <w:rFonts w:ascii="Calibri" w:hAnsi="Calibri"/>
          <w:b/>
          <w:color w:val="2B2B2B"/>
          <w:sz w:val="22"/>
        </w:rPr>
        <w:t>La diapositiva 11.</w:t>
      </w:r>
      <w:r>
        <w:rPr>
          <w:rFonts w:ascii="Calibri" w:hAnsi="Calibri"/>
          <w:b w:val="0"/>
          <w:color w:val="2B2B2B"/>
          <w:sz w:val="22"/>
        </w:rPr>
        <w:t xml:space="preserve"> Si las imágenes del AS-IS y el TO-BE son solo BPMN o traen tiempos por actividad. Si traen tiempos, ahí está la Tabla 19 y la pregunta 2 se hace sobre la pantalla.</w:t>
      </w:r>
    </w:p>
    <w:p>
      <w:pPr>
        <w:pStyle w:val="ListBullet"/>
      </w:pPr>
      <w:r>
        <w:rPr>
          <w:rFonts w:ascii="Calibri" w:hAnsi="Calibri"/>
          <w:b/>
          <w:color w:val="2B2B2B"/>
          <w:sz w:val="22"/>
        </w:rPr>
        <w:t>La diapositiva 12.</w:t>
      </w:r>
      <w:r>
        <w:rPr>
          <w:rFonts w:ascii="Calibri" w:hAnsi="Calibri"/>
          <w:b w:val="0"/>
          <w:color w:val="2B2B2B"/>
          <w:sz w:val="22"/>
        </w:rPr>
        <w:t xml:space="preserve"> Qué dice el diagrama de arquitectura: MVC, capas o cliente-servidor (punto 13).</w:t>
      </w:r>
    </w:p>
    <w:p>
      <w:pPr>
        <w:pStyle w:val="ListBullet"/>
      </w:pPr>
      <w:r>
        <w:rPr>
          <w:rFonts w:ascii="Calibri" w:hAnsi="Calibri"/>
          <w:b/>
          <w:color w:val="2B2B2B"/>
          <w:sz w:val="22"/>
        </w:rPr>
        <w:t>La diapositiva 13.</w:t>
      </w:r>
      <w:r>
        <w:rPr>
          <w:rFonts w:ascii="Calibri" w:hAnsi="Calibri"/>
          <w:b w:val="0"/>
          <w:color w:val="2B2B2B"/>
          <w:sz w:val="22"/>
        </w:rPr>
        <w:t xml:space="preserve"> Si sostienen en voz alta «robustez técnica … para la toma de decisiones financieras». Si lo dicen, la reserva de seguridad deja de ser reserva.</w:t>
      </w:r>
    </w:p>
    <w:p>
      <w:pPr>
        <w:pStyle w:val="ListBullet"/>
      </w:pPr>
      <w:r>
        <w:rPr>
          <w:rFonts w:ascii="Calibri" w:hAnsi="Calibri"/>
          <w:b/>
          <w:color w:val="2B2B2B"/>
          <w:sz w:val="22"/>
        </w:rPr>
        <w:t>Cuánto tiempo consumen las diapositivas 7, 8 y 9.</w:t>
      </w:r>
      <w:r>
        <w:rPr>
          <w:rFonts w:ascii="Calibri" w:hAnsi="Calibri"/>
          <w:b w:val="0"/>
          <w:color w:val="2B2B2B"/>
          <w:sz w:val="22"/>
        </w:rPr>
        <w:t xml:space="preserve"> Si los antecedentes se llevan más de cuatro de los veinte minutos, es dato de organización de la exposición.</w:t>
      </w:r>
    </w:p>
    <w:p>
      <w:pPr>
        <w:pStyle w:val="ListBullet"/>
      </w:pPr>
      <w:r>
        <w:rPr>
          <w:rFonts w:ascii="Calibri" w:hAnsi="Calibri"/>
          <w:b/>
          <w:color w:val="2B2B2B"/>
          <w:sz w:val="22"/>
        </w:rPr>
        <w:t>Quién habla de qué.</w:t>
      </w:r>
      <w:r>
        <w:rPr>
          <w:rFonts w:ascii="Calibri" w:hAnsi="Calibri"/>
          <w:b w:val="0"/>
          <w:color w:val="2B2B2B"/>
          <w:sz w:val="22"/>
        </w:rPr>
        <w:t xml:space="preserve"> Son tres integrantes y la §7 depende de esto: si uno solo lleva lo técnico, hay que pedir explícitamente a otro el motor multicriterio o las reglas RN-01 a RN-12.</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pPr>
        <w:ind w:left="432"/>
        <w:shd w:val="clear" w:fill="E8F5EC"/>
      </w:pPr>
      <w:r>
        <w:rPr>
          <w:rFonts w:ascii="Calibri" w:hAnsi="Calibri"/>
          <w:b/>
          <w:i/>
          <w:color w:val="2B2B2B"/>
          <w:sz w:val="21"/>
        </w:rPr>
        <w:t>Advertencia de sala sobre los números que se dicen en voz alta.</w:t>
      </w:r>
      <w:r>
        <w:rPr>
          <w:rFonts w:ascii="Calibri" w:hAnsi="Calibri"/>
          <w:b w:val="0"/>
          <w:i/>
          <w:color w:val="2B2B2B"/>
          <w:sz w:val="21"/>
        </w:rPr>
        <w:t xml:space="preserve"> El folio impreso desaparece a partir de la p. 100: de ahí al final ninguna hoja lleva número visible. Por eso estas tres preguntas se anclan en artefactos que quien expone sí puede localizar —Tabla 38, Tabla 19, el Cuadro Comparativo de KPIs, el gráfico del Índice de Madurez Digital— y solo dicen en voz alta folios que existen impresos (76, 97-99). Los índices de tablas y figuras (pp. 9-15) sí traen la paginación completa: si hace falta, ahí se remite.</w:t>
      </w:r>
    </w:p>
    <w:p>
      <w:r>
        <w:rPr>
          <w:rFonts w:ascii="Calibri" w:hAnsi="Calibri"/>
          <w:b/>
          <w:color w:val="2B2B2B"/>
          <w:sz w:val="22"/>
        </w:rPr>
        <w:t>1. Dónde entra el 20 % de Marca en el puntaje que calcula el sistema.</w:t>
      </w:r>
    </w:p>
    <w:p>
      <w:pPr>
        <w:ind w:left="432"/>
        <w:shd w:val="clear" w:fill="E8F5EC"/>
      </w:pPr>
      <w:r>
        <w:rPr>
          <w:rFonts w:ascii="Calibri" w:hAnsi="Calibri"/>
          <w:b w:val="0"/>
          <w:i/>
          <w:color w:val="2B2B2B"/>
          <w:sz w:val="21"/>
        </w:rPr>
        <w:t>«Su Tabla 38 documenta el procedimiento que lista todas las calificaciones y el puntaje total, y devuelve cinco: precio, tiempo de entrega, plazo de pago, capacidad financiera y valor agregado. No existe CalifMarca; Marca solo viaja como MarcaOfertada, y en su tabla de pesos vale 20 %. ¿Dónde entra ese 20 % en el PuntajeTotal? Muéstrenmelo en pantalla o en el procedimiento. Si Marca no se califica hoy, díganlo con esas palabras.»</w:t>
      </w:r>
    </w:p>
    <w:p>
      <w:pPr>
        <w:pStyle w:val="ListBullet"/>
      </w:pPr>
      <w:r>
        <w:rPr>
          <w:rFonts w:ascii="Calibri" w:hAnsi="Calibri"/>
          <w:b/>
          <w:color w:val="2B2B2B"/>
          <w:sz w:val="22"/>
        </w:rPr>
        <w:t>Sale de:</w:t>
      </w:r>
      <w:r>
        <w:rPr>
          <w:rFonts w:ascii="Calibri" w:hAnsi="Calibri"/>
          <w:b w:val="0"/>
          <w:color w:val="2B2B2B"/>
          <w:sz w:val="22"/>
        </w:rPr>
        <w:t xml:space="preserve"> </w:t>
      </w:r>
      <w:r>
        <w:rPr>
          <w:rFonts w:ascii="Calibri" w:hAnsi="Calibri"/>
          <w:b/>
          <w:color w:val="2B2B2B"/>
          <w:sz w:val="22"/>
        </w:rPr>
        <w:t>del documento</w:t>
      </w:r>
      <w:r>
        <w:rPr>
          <w:rFonts w:ascii="Calibri" w:hAnsi="Calibri"/>
          <w:b w:val="0"/>
          <w:color w:val="2B2B2B"/>
          <w:sz w:val="22"/>
        </w:rPr>
        <w:t xml:space="preserve">, entera. La evidencia es la Tabla 38 (p. 145) contra la tabla de pesos (p. 143), con las dos definiciones del Proveedor Sugerido (pp. 142 y 217) de refuerzo. </w:t>
      </w:r>
      <w:r>
        <w:rPr>
          <w:rFonts w:ascii="Calibri" w:hAnsi="Calibri"/>
          <w:b/>
          <w:color w:val="2B2B2B"/>
          <w:sz w:val="22"/>
        </w:rPr>
        <w:t>De las diapositivas no sale nada, y eso es parte del cálculo:</w:t>
      </w:r>
      <w:r>
        <w:rPr>
          <w:rFonts w:ascii="Calibri" w:hAnsi="Calibri"/>
          <w:b w:val="0"/>
          <w:color w:val="2B2B2B"/>
          <w:sz w:val="22"/>
        </w:rPr>
        <w:t xml:space="preserve"> el mazo no proyecta una sola fórmula ni un solo campo del modelo —la implementación es una imagen en la diapositiva 12 (§5, punto 13)—, así que la exposición no puede adelantar la respuesta ni tropezar sola. Es la única de las tres que hay que hacer </w:t>
      </w:r>
      <w:r>
        <w:rPr>
          <w:rFonts w:ascii="Calibri" w:hAnsi="Calibri"/>
          <w:b/>
          <w:color w:val="2B2B2B"/>
          <w:sz w:val="22"/>
        </w:rPr>
        <w:t>pidiendo artefacto en pantalla</w:t>
      </w:r>
      <w:r>
        <w:rPr>
          <w:rFonts w:ascii="Calibri" w:hAnsi="Calibri"/>
          <w:b w:val="0"/>
          <w:color w:val="2B2B2B"/>
          <w:sz w:val="22"/>
        </w:rPr>
        <w:t>, no cifra en voz alta.</w:t>
      </w:r>
    </w:p>
    <w:p>
      <w:pPr>
        <w:pStyle w:val="ListBullet"/>
      </w:pPr>
      <w:r>
        <w:rPr>
          <w:rFonts w:ascii="Calibri" w:hAnsi="Calibri"/>
          <w:b/>
          <w:color w:val="2B2B2B"/>
          <w:sz w:val="22"/>
        </w:rPr>
        <w:t>Por qué:</w:t>
      </w:r>
      <w:r>
        <w:rPr>
          <w:rFonts w:ascii="Calibri" w:hAnsi="Calibri"/>
          <w:b w:val="0"/>
          <w:color w:val="2B2B2B"/>
          <w:sz w:val="22"/>
        </w:rPr>
        <w:t xml:space="preserve"> la Tabla 38 (p. 145) documenta </w:t>
      </w:r>
      <w:r>
        <w:rPr>
          <w:rFonts w:ascii="Consolas" w:hAnsi="Consolas"/>
          <w:color w:val="111111"/>
          <w:sz w:val="21"/>
        </w:rPr>
        <w:t>usp_AnalisisProveedor_ListarPorLicitacion</w:t>
      </w:r>
      <w:r>
        <w:rPr>
          <w:rFonts w:ascii="Calibri" w:hAnsi="Calibri"/>
          <w:b w:val="0"/>
          <w:color w:val="2B2B2B"/>
          <w:sz w:val="22"/>
        </w:rPr>
        <w:t xml:space="preserve"> como el que lista «todas las calificaciones y el puntaje total», y su salida trae exactamente cinco: </w:t>
      </w:r>
      <w:r>
        <w:rPr>
          <w:rFonts w:ascii="Consolas" w:hAnsi="Consolas"/>
          <w:color w:val="111111"/>
          <w:sz w:val="21"/>
        </w:rPr>
        <w:t>CalifPrecio</w:t>
      </w:r>
      <w:r>
        <w:rPr>
          <w:rFonts w:ascii="Calibri" w:hAnsi="Calibri"/>
          <w:b w:val="0"/>
          <w:color w:val="2B2B2B"/>
          <w:sz w:val="22"/>
        </w:rPr>
        <w:t xml:space="preserve">, </w:t>
      </w:r>
      <w:r>
        <w:rPr>
          <w:rFonts w:ascii="Consolas" w:hAnsi="Consolas"/>
          <w:color w:val="111111"/>
          <w:sz w:val="21"/>
        </w:rPr>
        <w:t>CalifTiempoEntrega</w:t>
      </w:r>
      <w:r>
        <w:rPr>
          <w:rFonts w:ascii="Calibri" w:hAnsi="Calibri"/>
          <w:b w:val="0"/>
          <w:color w:val="2B2B2B"/>
          <w:sz w:val="22"/>
        </w:rPr>
        <w:t xml:space="preserve">, </w:t>
      </w:r>
      <w:r>
        <w:rPr>
          <w:rFonts w:ascii="Consolas" w:hAnsi="Consolas"/>
          <w:color w:val="111111"/>
          <w:sz w:val="21"/>
        </w:rPr>
        <w:t>CalifPlazoPago</w:t>
      </w:r>
      <w:r>
        <w:rPr>
          <w:rFonts w:ascii="Calibri" w:hAnsi="Calibri"/>
          <w:b w:val="0"/>
          <w:color w:val="2B2B2B"/>
          <w:sz w:val="22"/>
        </w:rPr>
        <w:t xml:space="preserve">, </w:t>
      </w:r>
      <w:r>
        <w:rPr>
          <w:rFonts w:ascii="Consolas" w:hAnsi="Consolas"/>
          <w:color w:val="111111"/>
          <w:sz w:val="21"/>
        </w:rPr>
        <w:t>CalifCapacidadFinanciera</w:t>
      </w:r>
      <w:r>
        <w:rPr>
          <w:rFonts w:ascii="Calibri" w:hAnsi="Calibri"/>
          <w:b w:val="0"/>
          <w:color w:val="2B2B2B"/>
          <w:sz w:val="22"/>
        </w:rPr>
        <w:t xml:space="preserve"> y </w:t>
      </w:r>
      <w:r>
        <w:rPr>
          <w:rFonts w:ascii="Consolas" w:hAnsi="Consolas"/>
          <w:color w:val="111111"/>
          <w:sz w:val="21"/>
        </w:rPr>
        <w:t>CalifValorAgregado</w:t>
      </w:r>
      <w:r>
        <w:rPr>
          <w:rFonts w:ascii="Calibri" w:hAnsi="Calibri"/>
          <w:b w:val="0"/>
          <w:color w:val="2B2B2B"/>
          <w:sz w:val="22"/>
        </w:rPr>
        <w:t xml:space="preserve">. </w:t>
      </w:r>
      <w:r>
        <w:rPr>
          <w:rFonts w:ascii="Calibri" w:hAnsi="Calibri"/>
          <w:b/>
          <w:color w:val="2B2B2B"/>
          <w:sz w:val="22"/>
        </w:rPr>
        <w:t>`CalifMarca` no aparece en ninguna de las 249 páginas</w:t>
      </w:r>
      <w:r>
        <w:rPr>
          <w:rFonts w:ascii="Calibri" w:hAnsi="Calibri"/>
          <w:b w:val="0"/>
          <w:color w:val="2B2B2B"/>
          <w:sz w:val="22"/>
        </w:rPr>
        <w:t xml:space="preserve">; </w:t>
      </w:r>
      <w:r>
        <w:rPr>
          <w:rFonts w:ascii="Consolas" w:hAnsi="Consolas"/>
          <w:color w:val="111111"/>
          <w:sz w:val="21"/>
        </w:rPr>
        <w:t>MarcaOfertada</w:t>
      </w:r>
      <w:r>
        <w:rPr>
          <w:rFonts w:ascii="Calibri" w:hAnsi="Calibri"/>
          <w:b w:val="0"/>
          <w:color w:val="2B2B2B"/>
          <w:sz w:val="22"/>
        </w:rPr>
        <w:t xml:space="preserve"> viaja como dato, no como calificación. Y Marca pesa </w:t>
      </w:r>
      <w:r>
        <w:rPr>
          <w:rFonts w:ascii="Calibri" w:hAnsi="Calibri"/>
          <w:b/>
          <w:color w:val="2B2B2B"/>
          <w:sz w:val="22"/>
        </w:rPr>
        <w:t>20 %</w:t>
      </w:r>
      <w:r>
        <w:rPr>
          <w:rFonts w:ascii="Calibri" w:hAnsi="Calibri"/>
          <w:b w:val="0"/>
          <w:color w:val="2B2B2B"/>
          <w:sz w:val="22"/>
        </w:rPr>
        <w:t xml:space="preserve"> en la tabla de pesos (p. 143). Encaja con las dos definiciones incompatibles del Proveedor Sugerido —solo precio en la vista de análisis (p. 142), cinco criterios sin Marca en la prueba de la Figura 78 (p. 217)—. Es la verificación de dominio técnico más directa que ofrece el trabajo, pide un artefacto y no la cubre el guion: las diapositivas 11 y 12, las únicas de resultados, traen BPMN y arquitectura, sin un KPI ni una fórmula.</w:t>
      </w:r>
    </w:p>
    <w:p>
      <w:pPr>
        <w:pStyle w:val="ListBullet"/>
      </w:pPr>
      <w:r>
        <w:rPr>
          <w:rFonts w:ascii="Calibri" w:hAnsi="Calibri"/>
          <w:b/>
          <w:color w:val="2B2B2B"/>
          <w:sz w:val="22"/>
        </w:rPr>
        <w:t>Qué la resuelve:</w:t>
      </w:r>
      <w:r>
        <w:rPr>
          <w:rFonts w:ascii="Calibri" w:hAnsi="Calibri"/>
          <w:b w:val="0"/>
          <w:color w:val="2B2B2B"/>
          <w:sz w:val="22"/>
        </w:rPr>
        <w:t xml:space="preserve"> que abran el ranking y muestren la columna de Marca calificada, o que expliquen que el 20 % se aplica en otra capa —el </w:t>
      </w:r>
      <w:r>
        <w:rPr>
          <w:rFonts w:ascii="Consolas" w:hAnsi="Consolas"/>
          <w:color w:val="111111"/>
          <w:sz w:val="21"/>
        </w:rPr>
        <w:t>usp_AnalisisProveedor_CalcularPuntajes</w:t>
      </w:r>
      <w:r>
        <w:rPr>
          <w:rFonts w:ascii="Calibri" w:hAnsi="Calibri"/>
          <w:b w:val="0"/>
          <w:color w:val="2B2B2B"/>
          <w:sz w:val="22"/>
        </w:rPr>
        <w:t xml:space="preserve"> de la misma tabla, que «calcula las calificaciones aplicando las ponderaciones definidas»— y que </w:t>
      </w:r>
      <w:r>
        <w:rPr>
          <w:rFonts w:ascii="Consolas" w:hAnsi="Consolas"/>
          <w:color w:val="111111"/>
          <w:sz w:val="21"/>
        </w:rPr>
        <w:t>ListarPorLicitacion</w:t>
      </w:r>
      <w:r>
        <w:rPr>
          <w:rFonts w:ascii="Calibri" w:hAnsi="Calibri"/>
          <w:b w:val="0"/>
          <w:color w:val="2B2B2B"/>
          <w:sz w:val="22"/>
        </w:rPr>
        <w:t xml:space="preserve"> solo omite el campo al exponerlo. Suma igual la respuesta honesta contraria: que Marca hoy se registra pero no se pondera, dicho con esas palabras, señalando que la Figura 16 (p. 157) da 5,0 a los cinco proveedores por igual, o sea que ese criterio no discrimina nada.</w:t>
      </w:r>
    </w:p>
    <w:p>
      <w:pPr>
        <w:pStyle w:val="ListBullet"/>
      </w:pPr>
      <w:r>
        <w:rPr>
          <w:rFonts w:ascii="Calibri" w:hAnsi="Calibri"/>
          <w:b/>
          <w:color w:val="2B2B2B"/>
          <w:sz w:val="22"/>
        </w:rPr>
        <w:t>Qué la agrava:</w:t>
      </w:r>
      <w:r>
        <w:rPr>
          <w:rFonts w:ascii="Calibri" w:hAnsi="Calibri"/>
          <w:b w:val="0"/>
          <w:color w:val="2B2B2B"/>
          <w:sz w:val="22"/>
        </w:rPr>
        <w:t xml:space="preserve"> afirmar que el motor es multicriterio de seis pesos y no poder mostrar dónde entra Marca, o que la pantalla que compartan ordene por oferta más económica. Entonces el 20 % nunca tocó la recomendación y la evidencia del motor —Figuras 13 a 18, pp. 155-158, con 0,0 en varias filas, </w:t>
      </w:r>
      <w:r>
        <w:rPr>
          <w:rFonts w:ascii="Consolas" w:hAnsi="Consolas"/>
          <w:color w:val="111111"/>
          <w:sz w:val="21"/>
        </w:rPr>
        <w:t>#¡DIV/0!</w:t>
      </w:r>
      <w:r>
        <w:rPr>
          <w:rFonts w:ascii="Calibri" w:hAnsi="Calibri"/>
          <w:b w:val="0"/>
          <w:color w:val="2B2B2B"/>
          <w:sz w:val="22"/>
        </w:rPr>
        <w:t xml:space="preserve"> y el total general en blanco— queda como una hoja de Excel presentada como salida del sistema que venía a eliminar los errores de Excel.</w:t>
      </w:r>
    </w:p>
    <w:p>
      <w:r>
        <w:rPr>
          <w:rFonts w:ascii="Calibri" w:hAnsi="Calibri"/>
          <w:b/>
          <w:color w:val="2B2B2B"/>
          <w:sz w:val="22"/>
        </w:rPr>
        <w:t>2. Qué actividades cronometradas suman las 32 horas.</w:t>
      </w:r>
    </w:p>
    <w:p>
      <w:pPr>
        <w:ind w:left="432"/>
        <w:shd w:val="clear" w:fill="E8F5EC"/>
      </w:pPr>
      <w:r>
        <w:rPr>
          <w:rFonts w:ascii="Calibri" w:hAnsi="Calibri"/>
          <w:b w:val="0"/>
          <w:i/>
          <w:color w:val="2B2B2B"/>
          <w:sz w:val="21"/>
        </w:rPr>
        <w:t>«Su Tabla 19, en las páginas 97 a 99, cronometra consolidar ofertas en 6 a 8 horas, comparar precios en 3 y la evaluación multicriterio en 2: once a trece horas. El párrafo que cierra esa observación declara 32 horas, y el Cuadro Comparativo de KPIs las cobra dos veces, en dos indicadores de 32. ¿Qué actividades cronometradas suman esas 32 horas? Dennos la lista. Si es una estimación de los funcionarios y no una medición, díganlo con esas palabras.»</w:t>
      </w:r>
    </w:p>
    <w:p>
      <w:pPr>
        <w:pStyle w:val="ListBullet"/>
      </w:pPr>
      <w:r>
        <w:rPr>
          <w:rFonts w:ascii="Calibri" w:hAnsi="Calibri"/>
          <w:b/>
          <w:color w:val="2B2B2B"/>
          <w:sz w:val="22"/>
        </w:rPr>
        <w:t>Sale de:</w:t>
      </w:r>
      <w:r>
        <w:rPr>
          <w:rFonts w:ascii="Calibri" w:hAnsi="Calibri"/>
          <w:b w:val="0"/>
          <w:color w:val="2B2B2B"/>
          <w:sz w:val="22"/>
        </w:rPr>
        <w:t xml:space="preserve"> </w:t>
      </w:r>
      <w:r>
        <w:rPr>
          <w:rFonts w:ascii="Calibri" w:hAnsi="Calibri"/>
          <w:b/>
          <w:color w:val="2B2B2B"/>
          <w:sz w:val="22"/>
        </w:rPr>
        <w:t>del documento</w:t>
      </w:r>
      <w:r>
        <w:rPr>
          <w:rFonts w:ascii="Calibri" w:hAnsi="Calibri"/>
          <w:b w:val="0"/>
          <w:color w:val="2B2B2B"/>
          <w:sz w:val="22"/>
        </w:rPr>
        <w:t xml:space="preserve"> —Tabla 19 (pp. 97-99) contra el párrafo de cierre de la observación (p. 100) y contra la Tabla 55 (p. 233)—, y </w:t>
      </w:r>
      <w:r>
        <w:rPr>
          <w:rFonts w:ascii="Calibri" w:hAnsi="Calibri"/>
          <w:b/>
          <w:color w:val="2B2B2B"/>
          <w:sz w:val="22"/>
        </w:rPr>
        <w:t>de las diapositivas sale su blindaje</w:t>
      </w:r>
      <w:r>
        <w:rPr>
          <w:rFonts w:ascii="Calibri" w:hAnsi="Calibri"/>
          <w:b w:val="0"/>
          <w:color w:val="2B2B2B"/>
          <w:sz w:val="22"/>
        </w:rPr>
        <w:t>: «32» da cero coincidencias en las 16, ninguna proyecta la Tabla 55 y la observación directa que cronometró las actividades no figura en la lista de instrumentos de la diapositiva 10 (§5, puntos 1 y 6). Si no se pregunta, nadie en esa sala se enteraría de que la línea base está contada dos veces.</w:t>
      </w:r>
    </w:p>
    <w:p>
      <w:pPr>
        <w:pStyle w:val="ListBullet"/>
      </w:pPr>
      <w:r>
        <w:rPr>
          <w:rFonts w:ascii="Calibri" w:hAnsi="Calibri"/>
          <w:b/>
          <w:color w:val="2B2B2B"/>
          <w:sz w:val="22"/>
        </w:rPr>
        <w:t>Por qué:</w:t>
      </w:r>
      <w:r>
        <w:rPr>
          <w:rFonts w:ascii="Calibri" w:hAnsi="Calibri"/>
          <w:b w:val="0"/>
          <w:color w:val="2B2B2B"/>
          <w:sz w:val="22"/>
        </w:rPr>
        <w:t xml:space="preserve"> las 32 horas son el argumento económico del trabajo y no salen de su propio cronómetro. La Tabla 19 mide 6-8 h la actividad 9 («Consolidación de ofertas», marcada «Principal cuello de botella»), 3 h la 10 y 2 h la 11: </w:t>
      </w:r>
      <w:r>
        <w:rPr>
          <w:rFonts w:ascii="Calibri" w:hAnsi="Calibri"/>
          <w:b/>
          <w:color w:val="2B2B2B"/>
          <w:sz w:val="22"/>
        </w:rPr>
        <w:t>11-13 horas</w:t>
      </w:r>
      <w:r>
        <w:rPr>
          <w:rFonts w:ascii="Calibri" w:hAnsi="Calibri"/>
          <w:b w:val="0"/>
          <w:color w:val="2B2B2B"/>
          <w:sz w:val="22"/>
        </w:rPr>
        <w:t xml:space="preserve">, y las 16 actividades completas suman </w:t>
      </w:r>
      <w:r>
        <w:rPr>
          <w:rFonts w:ascii="Calibri" w:hAnsi="Calibri"/>
          <w:b/>
          <w:color w:val="2B2B2B"/>
          <w:sz w:val="22"/>
        </w:rPr>
        <w:t>18-20 horas</w:t>
      </w:r>
      <w:r>
        <w:rPr>
          <w:rFonts w:ascii="Calibri" w:hAnsi="Calibri"/>
          <w:b w:val="0"/>
          <w:color w:val="2B2B2B"/>
          <w:sz w:val="22"/>
        </w:rPr>
        <w:t xml:space="preserve">. El párrafo de cierre de la observación (p. 100) declara 32 h para consolidación y evaluación juntas, y la Tabla 55 (p. 233) abre dos KPI —«Tiempo de Consolidación de las ofertas» y «Tiempo de Evaluación de Criterios de la licitación»— con 32 h cada uno y −98,4 % ambos: </w:t>
      </w:r>
      <w:r>
        <w:rPr>
          <w:rFonts w:ascii="Calibri" w:hAnsi="Calibri"/>
          <w:b/>
          <w:color w:val="2B2B2B"/>
          <w:sz w:val="22"/>
        </w:rPr>
        <w:t>64 horas de línea base</w:t>
      </w:r>
      <w:r>
        <w:rPr>
          <w:rFonts w:ascii="Calibri" w:hAnsi="Calibri"/>
          <w:b w:val="0"/>
          <w:color w:val="2B2B2B"/>
          <w:sz w:val="22"/>
        </w:rPr>
        <w:t>. Es aritmética verificable sobre páginas suyas, y la exposición nunca baja aquí porque ninguna diapositiva trae la Tabla 55.</w:t>
      </w:r>
    </w:p>
    <w:p>
      <w:pPr>
        <w:pStyle w:val="ListBullet"/>
      </w:pPr>
      <w:r>
        <w:rPr>
          <w:rFonts w:ascii="Calibri" w:hAnsi="Calibri"/>
          <w:b/>
          <w:color w:val="2B2B2B"/>
          <w:sz w:val="22"/>
        </w:rPr>
        <w:t>Qué la resuelve:</w:t>
      </w:r>
      <w:r>
        <w:rPr>
          <w:rFonts w:ascii="Calibri" w:hAnsi="Calibri"/>
          <w:b w:val="0"/>
          <w:color w:val="2B2B2B"/>
          <w:sz w:val="22"/>
        </w:rPr>
        <w:t xml:space="preserve"> que reconstruyan la cifra —qué actividades de la Tabla 19 y qué reprocesos sobre las 25 categorías (p. 93) componen las 32 h—, o que reconozcan que es una estimación de ciclo declarada por los funcionarios y no un tiempo medido. Suma mucho si además admiten que abrir dos indicadores con las mismas 32 h duplica la base y ofrecen el ahorro corregido: de 11-13 h a 0,5.</w:t>
      </w:r>
    </w:p>
    <w:p>
      <w:pPr>
        <w:pStyle w:val="ListBullet"/>
      </w:pPr>
      <w:r>
        <w:rPr>
          <w:rFonts w:ascii="Calibri" w:hAnsi="Calibri"/>
          <w:b/>
          <w:color w:val="2B2B2B"/>
          <w:sz w:val="22"/>
        </w:rPr>
        <w:t>Qué la agrava:</w:t>
      </w:r>
      <w:r>
        <w:rPr>
          <w:rFonts w:ascii="Calibri" w:hAnsi="Calibri"/>
          <w:b w:val="0"/>
          <w:color w:val="2B2B2B"/>
          <w:sz w:val="22"/>
        </w:rPr>
        <w:t xml:space="preserve"> sostener que son dos bloques independientes de 32 h sin registro que los respalde. Serían 64 horas de línea base contra un proceso manual completo de 18-20 horas medidas por ellos mismos: el −98,4 % calculado sobre una base que su propia observación no encontró, y el ahorro de horas-hombre sobreestimado hasta seis veces.</w:t>
      </w:r>
    </w:p>
    <w:p>
      <w:r>
        <w:rPr>
          <w:rFonts w:ascii="Calibri" w:hAnsi="Calibri"/>
          <w:b/>
          <w:color w:val="2B2B2B"/>
          <w:sz w:val="22"/>
        </w:rPr>
        <w:t>3. Qué instrumento produjo la línea base del 35 % de madurez digital.</w:t>
      </w:r>
    </w:p>
    <w:p>
      <w:pPr>
        <w:ind w:left="432"/>
        <w:shd w:val="clear" w:fill="E8F5EC"/>
      </w:pPr>
      <w:r>
        <w:rPr>
          <w:rFonts w:ascii="Calibri" w:hAnsi="Calibri"/>
          <w:b w:val="0"/>
          <w:i/>
          <w:color w:val="2B2B2B"/>
          <w:sz w:val="21"/>
        </w:rPr>
        <w:t>«La página 76 declara un instrumento de madurez digital: cinco dimensiones, escala 1 a 5, evaluación antes y después. El gráfico del Índice de Madurez Digital dice que el 88 % se obtuvo después del UAT con los seis funcionarios. ¿Qué instrumento y en qué fecha produjeron la línea base del 35 %? Si es una valoración del equipo y no una medición aplicada, díganlo con esas palabras.»</w:t>
      </w:r>
    </w:p>
    <w:p>
      <w:pPr>
        <w:pStyle w:val="ListBullet"/>
      </w:pPr>
      <w:r>
        <w:rPr>
          <w:rFonts w:ascii="Calibri" w:hAnsi="Calibri"/>
          <w:b/>
          <w:color w:val="2B2B2B"/>
          <w:sz w:val="22"/>
        </w:rPr>
        <w:t>Sale de:</w:t>
      </w:r>
      <w:r>
        <w:rPr>
          <w:rFonts w:ascii="Calibri" w:hAnsi="Calibri"/>
          <w:b w:val="0"/>
          <w:color w:val="2B2B2B"/>
          <w:sz w:val="22"/>
        </w:rPr>
        <w:t xml:space="preserve"> </w:t>
      </w:r>
      <w:r>
        <w:rPr>
          <w:rFonts w:ascii="Calibri" w:hAnsi="Calibri"/>
          <w:b/>
          <w:color w:val="2B2B2B"/>
          <w:sz w:val="22"/>
        </w:rPr>
        <w:t>del documento</w:t>
      </w:r>
      <w:r>
        <w:rPr>
          <w:rFonts w:ascii="Calibri" w:hAnsi="Calibri"/>
          <w:b w:val="0"/>
          <w:color w:val="2B2B2B"/>
          <w:sz w:val="22"/>
        </w:rPr>
        <w:t xml:space="preserve"> el reparo —la p. 76 contra las pp. 235-236— y </w:t>
      </w:r>
      <w:r>
        <w:rPr>
          <w:rFonts w:ascii="Calibri" w:hAnsi="Calibri"/>
          <w:b/>
          <w:color w:val="2B2B2B"/>
          <w:sz w:val="22"/>
        </w:rPr>
        <w:t>de las diapositivas la confirmación de que el constructo se cambió</w:t>
      </w:r>
      <w:r>
        <w:rPr>
          <w:rFonts w:ascii="Calibri" w:hAnsi="Calibri"/>
          <w:b w:val="0"/>
          <w:color w:val="2B2B2B"/>
          <w:sz w:val="22"/>
        </w:rPr>
        <w:t>: el mazo proyecta la madurez digital tres veces y siempre como concepto (diap. 4, 6 y 14), con la frase de la diapositiva 6 copiada palabra por palabra de la p. 55, y nunca como cifra: «35» y «88» dan cero coincidencias (§5, punto 7). La diapositiva 14 la deja en «Mayor madurez digital». Es decir: en pantalla lo que sobrevive es el marco teórico del indicador, no su medición.</w:t>
      </w:r>
    </w:p>
    <w:p>
      <w:pPr>
        <w:pStyle w:val="ListBullet"/>
      </w:pPr>
      <w:r>
        <w:rPr>
          <w:rFonts w:ascii="Calibri" w:hAnsi="Calibri"/>
          <w:b/>
          <w:color w:val="2B2B2B"/>
          <w:sz w:val="22"/>
        </w:rPr>
        <w:t>Por qué:</w:t>
      </w:r>
      <w:r>
        <w:rPr>
          <w:rFonts w:ascii="Calibri" w:hAnsi="Calibri"/>
          <w:b w:val="0"/>
          <w:color w:val="2B2B2B"/>
          <w:sz w:val="22"/>
        </w:rPr>
        <w:t xml:space="preserve"> el OE4 se cierra con indicadores y el de madurez es el que más rinde en la narrativa (35 % → 88 %, +151,4 %). El instrumento declarado en la p. 76 —cinco dimensiones, escala 1-5, antes y después— no se aplicó nunca; lo que se reporta es el porcentaje de adopción ADKAR (Tabla 56, p. 235, cuya nota dice que la «madurez digital» bajo ADKAR «se mide mediante encuestas diagnósticas»), y esa encuesta se administró </w:t>
      </w:r>
      <w:r>
        <w:rPr>
          <w:rFonts w:ascii="Calibri" w:hAnsi="Calibri"/>
          <w:b/>
          <w:color w:val="2B2B2B"/>
          <w:sz w:val="22"/>
        </w:rPr>
        <w:t>después del UAT</w:t>
      </w:r>
      <w:r>
        <w:rPr>
          <w:rFonts w:ascii="Calibri" w:hAnsi="Calibri"/>
          <w:b w:val="0"/>
          <w:color w:val="2B2B2B"/>
          <w:sz w:val="22"/>
        </w:rPr>
        <w:t>: la p. 236 lo dice con esas palabras, y el propio gráfico rotula las barras «Antes (Línea Base) 35 %» y «Después (UAT) 88 %». El 35 % no tiene instrumento, fecha ni respondientes en ninguna de las 249 páginas: como madurez solo aparece en la Tabla 55 (p. 233) y en la p. 236. Pide nombre y fecha, y no se contesta con el relato de la implementación.</w:t>
      </w:r>
    </w:p>
    <w:p>
      <w:pPr>
        <w:pStyle w:val="ListBullet"/>
      </w:pPr>
      <w:r>
        <w:rPr>
          <w:rFonts w:ascii="Calibri" w:hAnsi="Calibri"/>
          <w:b/>
          <w:color w:val="2B2B2B"/>
          <w:sz w:val="22"/>
        </w:rPr>
        <w:t>Qué la resuelve:</w:t>
      </w:r>
      <w:r>
        <w:rPr>
          <w:rFonts w:ascii="Calibri" w:hAnsi="Calibri"/>
          <w:b w:val="0"/>
          <w:color w:val="2B2B2B"/>
          <w:sz w:val="22"/>
        </w:rPr>
        <w:t xml:space="preserve"> que nombren un instrumento real con fecha de aplicación y respondientes, y puedan mostrar los datos crudos. O, con igual crédito, que digan sin rodeos que el 35 % es la valoración inicial del equipo sobre la escala ADKAR y no una medición aplicada: ahí la lectura correcta es que lo reportado es </w:t>
      </w:r>
      <w:r>
        <w:rPr>
          <w:rFonts w:ascii="Calibri" w:hAnsi="Calibri"/>
          <w:b/>
          <w:color w:val="2B2B2B"/>
          <w:sz w:val="22"/>
        </w:rPr>
        <w:t>adopción</w:t>
      </w:r>
      <w:r>
        <w:rPr>
          <w:rFonts w:ascii="Calibri" w:hAnsi="Calibri"/>
          <w:b w:val="0"/>
          <w:color w:val="2B2B2B"/>
          <w:sz w:val="22"/>
        </w:rPr>
        <w:t>, no madurez, y que la promesa de la p. 76 quedó pendiente. Suma si añaden que el referente que sí citan (p. 55, Baiges, Lázaro y García, 2024) es un estudio de madurez digital institucional en educación del que no derivaron ningún instrumento.</w:t>
      </w:r>
    </w:p>
    <w:p>
      <w:pPr>
        <w:pStyle w:val="ListBullet"/>
      </w:pPr>
      <w:r>
        <w:rPr>
          <w:rFonts w:ascii="Calibri" w:hAnsi="Calibri"/>
          <w:b/>
          <w:color w:val="2B2B2B"/>
          <w:sz w:val="22"/>
        </w:rPr>
        <w:t>Qué la agrava:</w:t>
      </w:r>
      <w:r>
        <w:rPr>
          <w:rFonts w:ascii="Calibri" w:hAnsi="Calibri"/>
          <w:b w:val="0"/>
          <w:color w:val="2B2B2B"/>
          <w:sz w:val="22"/>
        </w:rPr>
        <w:t xml:space="preserve"> defender el 35 % como medición. La contradicción pasa entonces a ser de fecha, porque el único instrumento aplicado corrió después del UAT, y arrastra el reporte del mismo resultado con dos aritméticas —+151,4 % en la Tabla 55 (p. 233) y 53 % en las pp. 232 y 236— más el cambio silencioso del constructo de cinco dimensiones al modelo ADKAR.</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«Su cuarto objetivo pide medición comparativa de madurez digital, y en la página 76 declaran un instrumento de cinco dimensiones —automatización, integración, analítica, seguridad y gobernanza— en escala de 1 a 5, antes y después. Lo que reportan en la página 235 es la matriz ADKAR de adopción. ¿Con qué instrumento, cuándo y a quiénes midieron el 35 % de línea base?»</w:t>
      </w:r>
    </w:p>
    <w:p>
      <w:pPr>
        <w:pStyle w:val="ListNumber"/>
      </w:pPr>
      <w:r>
        <w:rPr>
          <w:rFonts w:ascii="Calibri" w:hAnsi="Calibri"/>
          <w:b w:val="0"/>
          <w:color w:val="2B2B2B"/>
          <w:sz w:val="22"/>
        </w:rPr>
        <w:t>«El valor del proyecto está en el motor multicriterio que genera el ranking, y ustedes conservaron la decisión final en la Dirección Administrativa. En las 10 licitaciones ya ejecutadas, ¿en cuántas se adjudicó al proveedor sugerido por el sistema, y qué pasó en las que no?»</w:t>
      </w:r>
    </w:p>
    <w:p>
      <w:pPr>
        <w:pStyle w:val="ListNumber"/>
      </w:pPr>
      <w:r>
        <w:rPr>
          <w:rFonts w:ascii="Calibri" w:hAnsi="Calibri"/>
          <w:b w:val="0"/>
          <w:color w:val="2B2B2B"/>
          <w:sz w:val="22"/>
        </w:rPr>
        <w:t>«La página 100 dice que consolidación y evaluación, juntas, tomaban unas 32 horas. La Tabla 55 de la página 233 abre dos indicadores y le asigna 32 horas a cada uno, los dos con una reducción del 98,4 %. ¿Son dos bloques distintos de tiempo o es el mismo bloque contado dos veces?»</w:t>
      </w:r>
    </w:p>
    <w:p>
      <w:pPr>
        <w:spacing w:before="200" w:after="60"/>
      </w:pPr>
      <w:r>
        <w:rPr>
          <w:rFonts w:ascii="Calibri" w:hAnsi="Calibri"/>
          <w:b/>
          <w:color w:val="007433"/>
          <w:sz w:val="32"/>
        </w:rPr>
        <w:t>Banco de reserva</w:t>
      </w:r>
    </w:p>
    <w:p>
      <w:pPr>
        <w:ind w:left="432"/>
        <w:shd w:val="clear" w:fill="E8F5EC"/>
      </w:pPr>
      <w:r>
        <w:rPr>
          <w:rFonts w:ascii="Calibri" w:hAnsi="Calibri"/>
          <w:b w:val="0"/>
          <w:i/>
          <w:color w:val="2B2B2B"/>
          <w:sz w:val="21"/>
        </w:rPr>
        <w:t xml:space="preserve">Dividido por su fuente, igual que las observaciones: las del documento se pueden preparar leyendo, las de las diapositivas solo tienen sentido si eso se proyecta. </w:t>
      </w:r>
      <w:r>
        <w:rPr>
          <w:rFonts w:ascii="Calibri" w:hAnsi="Calibri"/>
          <w:b/>
          <w:i/>
          <w:color w:val="2B2B2B"/>
          <w:sz w:val="21"/>
        </w:rPr>
        <w:t>Los títulos no se cambian</w:t>
      </w:r>
      <w:r>
        <w:rPr>
          <w:rFonts w:ascii="Calibri" w:hAnsi="Calibri"/>
          <w:b w:val="0"/>
          <w:i/>
          <w:color w:val="2B2B2B"/>
          <w:sz w:val="21"/>
        </w:rPr>
        <w:t>: la §7 llama a algunas de estas reservas por su nombre («la reserva de concordancia sugerencia-adjudicación»), y las trece del documento estaban escritas antes de auditar el mazo.</w:t>
      </w:r>
    </w:p>
    <w:p>
      <w:pPr>
        <w:spacing w:before="140" w:after="60"/>
      </w:pPr>
      <w:r>
        <w:rPr>
          <w:rFonts w:ascii="Calibri" w:hAnsi="Calibri"/>
          <w:b/>
          <w:color w:val="0C2340"/>
          <w:sz w:val="27"/>
        </w:rPr>
        <w:t>Del documento</w:t>
      </w:r>
    </w:p>
    <w:p>
      <w:pPr>
        <w:pStyle w:val="ListBullet"/>
      </w:pPr>
      <w:r>
        <w:rPr>
          <w:rFonts w:ascii="Calibri" w:hAnsi="Calibri"/>
          <w:b/>
          <w:color w:val="2B2B2B"/>
          <w:sz w:val="22"/>
        </w:rPr>
        <w:t>El Proveedor Sugerido, definido dos veces.</w:t>
      </w:r>
      <w:r>
        <w:rPr>
          <w:rFonts w:ascii="Calibri" w:hAnsi="Calibri"/>
          <w:b w:val="0"/>
          <w:color w:val="2B2B2B"/>
          <w:sz w:val="22"/>
        </w:rPr>
        <w:t xml:space="preserve"> «La vista de Análisis Detalle define el Proveedor Sugerido por el Sistema como las ofertas más económicas por ítem por ciudad (p. 142), y la prueba de la Figura 78 lo asigna por cinco criterios —entrega, plazo de pago, costo, valor agregado y capacidad financiera— (p. 217). ¿Cuál de las dos calcula el sistema hoy?» — Desplazada por la P1, que ataca lo mismo con un artefacto más duro. Es la de elección si en sala muestran la pantalla del sugerido. «Sugerido» solo aparece en esas dos páginas de las 249, y en ningún procedimiento almacenado.</w:t>
      </w:r>
    </w:p>
    <w:p>
      <w:pPr>
        <w:pStyle w:val="ListBullet"/>
      </w:pPr>
      <w:r>
        <w:rPr>
          <w:rFonts w:ascii="Calibri" w:hAnsi="Calibri"/>
          <w:b/>
          <w:color w:val="2B2B2B"/>
          <w:sz w:val="22"/>
        </w:rPr>
        <w:t>ERP.</w:t>
      </w:r>
      <w:r>
        <w:rPr>
          <w:rFonts w:ascii="Calibri" w:hAnsi="Calibri"/>
          <w:b w:val="0"/>
          <w:color w:val="2B2B2B"/>
          <w:sz w:val="22"/>
        </w:rPr>
        <w:t xml:space="preserve"> «La p. 176 detalla la integración con el ERP Microsoft Dynamics AX para la descarga de históricos, y la actividad 1 de su Tabla 19 ya opera con un archivo descargado del ERP (p. 97), pero las pp. 28 y 30 excluyen esa integración del alcance y la diap. 14 la propone como trabajo futuro. ¿Qué hay hoy en operación: una descarga manual de un archivo o una integración? Dennos el nombre del mecanismo.»</w:t>
      </w:r>
    </w:p>
    <w:p>
      <w:pPr>
        <w:pStyle w:val="ListBullet"/>
      </w:pPr>
      <w:r>
        <w:rPr>
          <w:rFonts w:ascii="Calibri" w:hAnsi="Calibri"/>
          <w:b/>
          <w:color w:val="2B2B2B"/>
          <w:sz w:val="22"/>
        </w:rPr>
        <w:t>MVC.</w:t>
      </w:r>
      <w:r>
        <w:rPr>
          <w:rFonts w:ascii="Calibri" w:hAnsi="Calibri"/>
          <w:b w:val="0"/>
          <w:color w:val="2B2B2B"/>
          <w:sz w:val="22"/>
        </w:rPr>
        <w:t xml:space="preserve"> «El título y el objetivo específico 2 prometen arquitectura MVC, y la última mención de MVC en las 249 páginas está en la p. 73: de la 74 al final no reaparece, y la Fase V describe una arquitectura cliente-servidor multicapa con frontend SPA en Blazor (pp. 57, 181). ¿Dónde está el controlador en lo que construyeron?» (pp. 51-52, 56, 73, 181) — Buena para verificar dominio técnico real de quien programó. La diap. 4 mantiene MVC en el objetivo general y en el OE2, así que la promesa sigue viva en pantalla, y el diagrama de la diap. 12 es la única respuesta pública que van a dar: leerlo antes de preguntar (§5, punto 13).</w:t>
      </w:r>
    </w:p>
    <w:p>
      <w:pPr>
        <w:pStyle w:val="ListBullet"/>
      </w:pPr>
      <w:r>
        <w:rPr>
          <w:rFonts w:ascii="Calibri" w:hAnsi="Calibri"/>
          <w:b/>
          <w:color w:val="2B2B2B"/>
          <w:sz w:val="22"/>
        </w:rPr>
        <w:t>Caso borde del 15 %.</w:t>
      </w:r>
      <w:r>
        <w:rPr>
          <w:rFonts w:ascii="Calibri" w:hAnsi="Calibri"/>
          <w:b w:val="0"/>
          <w:color w:val="2B2B2B"/>
          <w:sz w:val="22"/>
        </w:rPr>
        <w:t xml:space="preserve"> «La p. 143 dice que al proveedor con la calificación más baja se le asigna 3 sobre 5, pero la Figura 17 (p. 157) muestra </w:t>
      </w:r>
      <w:r>
        <w:rPr>
          <w:rFonts w:ascii="Consolas" w:hAnsi="Consolas"/>
          <w:color w:val="111111"/>
          <w:sz w:val="21"/>
        </w:rPr>
        <w:t>#¡DIV/0!</w:t>
      </w:r>
      <w:r>
        <w:rPr>
          <w:rFonts w:ascii="Calibri" w:hAnsi="Calibri"/>
          <w:b w:val="0"/>
          <w:color w:val="2B2B2B"/>
          <w:sz w:val="22"/>
        </w:rPr>
        <w:t xml:space="preserve"> en tres columnas de un proveedor con ingresos en cero, y la Figura 18 (p. 158) deja tres proveedores en 0 y el total general en blanco, sobre datos reales de una licitación. ¿Qué hace el motor cuando un proveedor no reporta estados financieros?»</w:t>
      </w:r>
    </w:p>
    <w:p>
      <w:pPr>
        <w:pStyle w:val="ListBullet"/>
      </w:pPr>
      <w:r>
        <w:rPr>
          <w:rFonts w:ascii="Calibri" w:hAnsi="Calibri"/>
          <w:b/>
          <w:color w:val="2B2B2B"/>
          <w:sz w:val="22"/>
        </w:rPr>
        <w:t>Criterios del AS-IS.</w:t>
      </w:r>
      <w:r>
        <w:rPr>
          <w:rFonts w:ascii="Calibri" w:hAnsi="Calibri"/>
          <w:b w:val="0"/>
          <w:color w:val="2B2B2B"/>
          <w:sz w:val="22"/>
        </w:rPr>
        <w:t xml:space="preserve"> «La p. 103 dice que la evaluación manual ponderaba precio, estado financiero, plazo de pago, tiempo de entrega, capacidad financiera y servicio posventa: sin Marca y sin Valor Agregado, que hoy suman 30 % del modelo, y la Figura 18 titula el sexto criterio Servicio Posventa donde la p. 143 dice Valor Agregado. ¿El TO-BE automatizó la regla anterior o definió una nueva?» (pp. 103, 143, 158)</w:t>
      </w:r>
    </w:p>
    <w:p>
      <w:pPr>
        <w:pStyle w:val="ListBullet"/>
      </w:pPr>
      <w:r>
        <w:rPr>
          <w:rFonts w:ascii="Calibri" w:hAnsi="Calibri"/>
          <w:b/>
          <w:color w:val="2B2B2B"/>
          <w:sz w:val="22"/>
        </w:rPr>
        <w:t>Naturaleza de la evidencia.</w:t>
      </w:r>
      <w:r>
        <w:rPr>
          <w:rFonts w:ascii="Calibri" w:hAnsi="Calibri"/>
          <w:b w:val="0"/>
          <w:color w:val="2B2B2B"/>
          <w:sz w:val="22"/>
        </w:rPr>
        <w:t xml:space="preserve"> «Las figuras de las pp. 110-113 y 157 muestran bisturí metálico, cajas y carpetas de cartón y cartuchos de tinta, con proveedores papeleros, mientras la p. 240 habla de 7.000 productos agrícolas y la 93 de 7.241 productos por licitación. De las 10 licitaciones gestionadas, ¿cuántas fueron de insumos de proceso y cuántas de suministros administrativos?»</w:t>
      </w:r>
    </w:p>
    <w:p>
      <w:pPr>
        <w:pStyle w:val="ListBullet"/>
      </w:pPr>
      <w:r>
        <w:rPr>
          <w:rFonts w:ascii="Calibri" w:hAnsi="Calibri"/>
          <w:b/>
          <w:color w:val="2B2B2B"/>
          <w:sz w:val="22"/>
        </w:rPr>
        <w:t>Concordancia sugerencia-adjudicación.</w:t>
      </w:r>
      <w:r>
        <w:rPr>
          <w:rFonts w:ascii="Calibri" w:hAnsi="Calibri"/>
          <w:b w:val="0"/>
          <w:color w:val="2B2B2B"/>
          <w:sz w:val="22"/>
        </w:rPr>
        <w:t xml:space="preserve"> «La regla RN-09 (p. 174) y las pp. 180 y 226 dejan la adjudicación final en la Dirección Administrativa. De las 10 licitaciones operadas desde el 1 de junio de 2026, ¿en cuántas la Dirección adjudicó al proveedor sugerido por el sistema? Dennos el número; si no se registró, díganlo con esas palabras.» — El dato no aparece en las pp. 223-241. Es la P2 que se leyó el 18/08; queda en reserva por si conviene repetirla.</w:t>
      </w:r>
    </w:p>
    <w:p>
      <w:pPr>
        <w:pStyle w:val="ListBullet"/>
      </w:pPr>
      <w:r>
        <w:rPr>
          <w:rFonts w:ascii="Calibri" w:hAnsi="Calibri"/>
          <w:b/>
          <w:color w:val="2B2B2B"/>
          <w:sz w:val="22"/>
        </w:rPr>
        <w:t>Seguridad.</w:t>
      </w:r>
      <w:r>
        <w:rPr>
          <w:rFonts w:ascii="Calibri" w:hAnsi="Calibri"/>
          <w:b w:val="0"/>
          <w:color w:val="2B2B2B"/>
          <w:sz w:val="22"/>
        </w:rPr>
        <w:t xml:space="preserve"> «El plan de validación de la p. 68 incluía pruebas de seguridad básica y la justificación de la p. 27 invoca ISO/IEC 27001:2022 y RBAC sobre información financiera de proveedores, pero el capítulo de resultados (p. 228) solo declara pruebas funcionales, de integración y de usabilidad, con una interfaz externa para proveedores (p. 227). ¿Qué prueba de seguridad se ejecutó, con qué resultado, y quién administra los roles?» — ⚠️ </w:t>
      </w:r>
      <w:r>
        <w:rPr>
          <w:rFonts w:ascii="Calibri" w:hAnsi="Calibri"/>
          <w:b/>
          <w:color w:val="2B2B2B"/>
          <w:sz w:val="22"/>
        </w:rPr>
        <w:t>No leer en voz alta las direcciones del servidor que están impresas en la p. 192 ni dejarlas en el acta.</w:t>
      </w:r>
    </w:p>
    <w:p>
      <w:pPr>
        <w:pStyle w:val="ListBullet"/>
      </w:pPr>
      <w:r>
        <w:rPr>
          <w:rFonts w:ascii="Calibri" w:hAnsi="Calibri"/>
          <w:b/>
          <w:color w:val="2B2B2B"/>
          <w:sz w:val="22"/>
        </w:rPr>
        <w:t>Acta pendiente.</w:t>
      </w:r>
      <w:r>
        <w:rPr>
          <w:rFonts w:ascii="Calibri" w:hAnsi="Calibri"/>
          <w:b w:val="0"/>
          <w:color w:val="2B2B2B"/>
          <w:sz w:val="22"/>
        </w:rPr>
        <w:t xml:space="preserve"> «La matriz metodológica de la p. 73 marca como pendiente el producto 9, el Acta de Aceptación Funcional del Sistema con certificación firmada, y la p. 231 reporta el UAT aprobado por los 6 funcionarios con 100 % de conformidad sobre 10 escenarios. ¿Quién firmó el acta, con qué cargo y en qué fecha? Si no está firmada, díganlo con esas palabras.»</w:t>
      </w:r>
    </w:p>
    <w:p>
      <w:pPr>
        <w:pStyle w:val="ListBullet"/>
      </w:pPr>
      <w:r>
        <w:rPr>
          <w:rFonts w:ascii="Calibri" w:hAnsi="Calibri"/>
          <w:b/>
          <w:color w:val="2B2B2B"/>
          <w:sz w:val="22"/>
        </w:rPr>
        <w:t>Enfoque mixto.</w:t>
      </w:r>
      <w:r>
        <w:rPr>
          <w:rFonts w:ascii="Calibri" w:hAnsi="Calibri"/>
          <w:b w:val="0"/>
          <w:color w:val="2B2B2B"/>
          <w:sz w:val="22"/>
        </w:rPr>
        <w:t xml:space="preserve"> «La p. 64 enuncia el enfoque como técnicas cualitativas —observación directa y entrevistas semiestructuradas— y cuantitativas —entrevistas semiestructuradas—, la p. 74 llama censo al diseño y la 81 lo llama muestreo intencional. ¿Cuál instrumento produjo el dato cuantitativo del estudio?»</w:t>
      </w:r>
    </w:p>
    <w:p>
      <w:pPr>
        <w:pStyle w:val="ListBullet"/>
      </w:pPr>
      <w:r>
        <w:rPr>
          <w:rFonts w:ascii="Calibri" w:hAnsi="Calibri"/>
          <w:b/>
          <w:color w:val="2B2B2B"/>
          <w:sz w:val="22"/>
        </w:rPr>
        <w:t>El adjetivo del título.</w:t>
      </w:r>
      <w:r>
        <w:rPr>
          <w:rFonts w:ascii="Calibri" w:hAnsi="Calibri"/>
          <w:b w:val="0"/>
          <w:color w:val="2B2B2B"/>
          <w:sz w:val="22"/>
        </w:rPr>
        <w:t xml:space="preserve"> «El título dice "sistema web </w:t>
      </w:r>
      <w:r>
        <w:rPr>
          <w:rFonts w:ascii="Calibri" w:hAnsi="Calibri"/>
          <w:b/>
          <w:color w:val="2B2B2B"/>
          <w:sz w:val="22"/>
        </w:rPr>
        <w:t>inteligente</w:t>
      </w:r>
      <w:r>
        <w:rPr>
          <w:rFonts w:ascii="Calibri" w:hAnsi="Calibri"/>
          <w:b w:val="0"/>
          <w:color w:val="2B2B2B"/>
          <w:sz w:val="22"/>
        </w:rPr>
        <w:t>" y las recomendaciones proponen incorporar IA con K-Means a futuro (p. 242). ¿Qué es lo inteligente del sistema hoy?» — Da pie a una buena respuesta: reglas de negocio, parametrización y automatización de la decisión. Es también la pregunta que probablemente hará otro evaluador.</w:t>
      </w:r>
    </w:p>
    <w:p>
      <w:pPr>
        <w:pStyle w:val="ListBullet"/>
      </w:pPr>
      <w:r>
        <w:rPr>
          <w:rFonts w:ascii="Calibri" w:hAnsi="Calibri"/>
          <w:b/>
          <w:color w:val="2B2B2B"/>
          <w:sz w:val="22"/>
        </w:rPr>
        <w:t>Los proveedores como usuarios externos.</w:t>
      </w:r>
      <w:r>
        <w:rPr>
          <w:rFonts w:ascii="Calibri" w:hAnsi="Calibri"/>
          <w:b w:val="0"/>
          <w:color w:val="2B2B2B"/>
          <w:sz w:val="22"/>
        </w:rPr>
        <w:t xml:space="preserve"> «El módulo de ofertas es una interfaz externa para proveedores (p. 227) y el UAT lo hicieron los 6 funcionarios internos (p. 229). ¿Cuántos proveedores han cargado oferta en la plataforma y qué reportaron?» — Es el actor que quedó fuera de la validación.</w:t>
      </w:r>
    </w:p>
    <w:p>
      <w:pPr>
        <w:pStyle w:val="ListBullet"/>
      </w:pPr>
      <w:r>
        <w:rPr>
          <w:rFonts w:ascii="Calibri" w:hAnsi="Calibri"/>
          <w:b/>
          <w:color w:val="2B2B2B"/>
          <w:sz w:val="22"/>
        </w:rPr>
        <w:t>Sostenibilidad del refuerzo.</w:t>
      </w:r>
      <w:r>
        <w:rPr>
          <w:rFonts w:ascii="Calibri" w:hAnsi="Calibri"/>
          <w:b w:val="0"/>
          <w:color w:val="2B2B2B"/>
          <w:sz w:val="22"/>
        </w:rPr>
        <w:t xml:space="preserve"> «Refuerzo es su dimensión ADKAR más baja, 76,6 % (p. 241). ¿Quién queda como administrador del sistema y del plan de incentivos que recomiendan (p. 243) cuando ustedes se gradúen?»</w:t>
      </w:r>
    </w:p>
    <w:p>
      <w:pPr>
        <w:spacing w:before="140" w:after="60"/>
      </w:pPr>
      <w:r>
        <w:rPr>
          <w:rFonts w:ascii="Calibri" w:hAnsi="Calibri"/>
          <w:b/>
          <w:color w:val="0C2340"/>
          <w:sz w:val="27"/>
        </w:rPr>
        <w:t>De las diapositivas</w:t>
      </w:r>
    </w:p>
    <w:p>
      <w:pPr>
        <w:pStyle w:val="ListBullet"/>
      </w:pPr>
      <w:r>
        <w:rPr>
          <w:rFonts w:ascii="Calibri" w:hAnsi="Calibri"/>
          <w:b/>
          <w:color w:val="2B2B2B"/>
          <w:sz w:val="22"/>
        </w:rPr>
        <w:t>El antes y el después que anuncia la diapositiva 10.</w:t>
      </w:r>
      <w:r>
        <w:rPr>
          <w:rFonts w:ascii="Calibri" w:hAnsi="Calibri"/>
          <w:b w:val="0"/>
          <w:color w:val="2B2B2B"/>
          <w:sz w:val="22"/>
        </w:rPr>
        <w:t xml:space="preserve"> «Su diapositiva de metodología declara un diseño no experimental longitudinal </w:t>
      </w:r>
      <w:r>
        <w:rPr>
          <w:rFonts w:ascii="Calibri" w:hAnsi="Calibri"/>
          <w:b/>
          <w:color w:val="2B2B2B"/>
          <w:sz w:val="22"/>
        </w:rPr>
        <w:t>con medición antes y después</w:t>
      </w:r>
      <w:r>
        <w:rPr>
          <w:rFonts w:ascii="Calibri" w:hAnsi="Calibri"/>
          <w:b w:val="0"/>
          <w:color w:val="2B2B2B"/>
          <w:sz w:val="22"/>
        </w:rPr>
        <w:t>, y anuncia tres análisis: comparación de tiempos, medición de reducción de errores y evaluación de eficiencia operativa. En sus dos diapositivas de resultados no hay una sola cifra. ¿Cuál es la comparación antes-después que sostiene el trabajo? Dígannosla en voz alta.» — Es la pregunta más generosa del banco: la respuesta está en su Tabla 55 y solo hay que dejarles decirla. Vale también como apertura si llegan nerviosos, porque premia y no acorrala. Ojo con el dato de fondo: «longitudinal» y «No experimental» no aparecen en ninguna de las 249 páginas (§5, punto 5), así que ese diseño se nombró por primera vez en la presentación.</w:t>
      </w:r>
    </w:p>
    <w:p>
      <w:pPr>
        <w:pStyle w:val="ListBullet"/>
      </w:pPr>
      <w:r>
        <w:rPr>
          <w:rFonts w:ascii="Calibri" w:hAnsi="Calibri"/>
          <w:b/>
          <w:color w:val="2B2B2B"/>
          <w:sz w:val="22"/>
        </w:rPr>
        <w:t>La observación directa que no está en la lista de instrumentos.</w:t>
      </w:r>
      <w:r>
        <w:rPr>
          <w:rFonts w:ascii="Calibri" w:hAnsi="Calibri"/>
          <w:b w:val="0"/>
          <w:color w:val="2B2B2B"/>
          <w:sz w:val="22"/>
        </w:rPr>
        <w:t xml:space="preserve"> «Abrieron el problema con cuatro números —25 categorías, 7.241 productos, 10 a 15 días, cinco funcionarios— y los cuatro salen de su registro de observación de la página 93. En su lista de instrumentos no aparece la observación directa. ¿Con qué instrumento midieron la línea base del proceso manual?» — El documento sí la declara (p. 80) y la despliega con cronómetro (pp. 97-99): la pregunta no denuncia un vacío del trabajo, sino uno de la presentación, y les da pie a mostrar su mejor evidencia. Si en sala mencionan de viva voz la observación y el cronómetro, </w:t>
      </w:r>
      <w:r>
        <w:rPr>
          <w:rFonts w:ascii="Calibri" w:hAnsi="Calibri"/>
          <w:b/>
          <w:color w:val="2B2B2B"/>
          <w:sz w:val="22"/>
        </w:rPr>
        <w:t>se cae y hay que reconocerlo</w:t>
      </w:r>
      <w:r>
        <w:rPr>
          <w:rFonts w:ascii="Calibri" w:hAnsi="Calibri"/>
          <w:b w:val="0"/>
          <w:color w:val="2B2B2B"/>
          <w:sz w:val="22"/>
        </w:rPr>
        <w:t>.</w:t>
      </w:r>
    </w:p>
    <w:p>
      <w:pPr>
        <w:pStyle w:val="ListBullet"/>
      </w:pPr>
      <w:r>
        <w:rPr>
          <w:rFonts w:ascii="Calibri" w:hAnsi="Calibri"/>
          <w:b/>
          <w:color w:val="2B2B2B"/>
          <w:sz w:val="22"/>
        </w:rPr>
        <w:t>El ciclo proyectado contra el ciclo medido.</w:t>
      </w:r>
      <w:r>
        <w:rPr>
          <w:rFonts w:ascii="Calibri" w:hAnsi="Calibri"/>
          <w:b w:val="0"/>
          <w:color w:val="2B2B2B"/>
          <w:sz w:val="22"/>
        </w:rPr>
        <w:t xml:space="preserve"> «Su diapositiva de justificación proyecta el ciclo de 10-15 días a 4-6 días. ¿Cuál es el dato medido a hoy, sobre las licitaciones que ya operaron?» — El documento contesta 12,5 → 4,8 días, −61,6 % (p. 233). Ya está prevista como conditional en la §7; queda aquí por si la exposición nunca llega a la diapositiva 5.</w:t>
      </w:r>
    </w:p>
    <w:p>
      <w:pPr>
        <w:pStyle w:val="ListBullet"/>
      </w:pPr>
      <w:r>
        <w:rPr>
          <w:rFonts w:ascii="Calibri" w:hAnsi="Calibri"/>
          <w:b/>
          <w:color w:val="2B2B2B"/>
          <w:sz w:val="22"/>
        </w:rPr>
        <w:t>El ahorro anual de la diapositiva 5.</w:t>
      </w:r>
      <w:r>
        <w:rPr>
          <w:rFonts w:ascii="Calibri" w:hAnsi="Calibri"/>
          <w:b w:val="0"/>
          <w:color w:val="2B2B2B"/>
          <w:sz w:val="22"/>
        </w:rPr>
        <w:t xml:space="preserve"> «Entre las justificaciones proyectan un potencial ahorro anual por optimización. ¿Existe esa cifra? ¿Cómo se calcula, con qué costo-hora y sobre qué volumen?» — En las 249 páginas «ahorro» aparece una sola vez, en la p. 26, como «ahorros indirectos», sin cálculo (§5, punto 4). Si dicen que no se calculó, es respuesta válida y suma; lo que no cabe es improvisar un número. </w:t>
      </w:r>
      <w:r>
        <w:rPr>
          <w:rFonts w:ascii="Calibri" w:hAnsi="Calibri"/>
          <w:b/>
          <w:color w:val="2B2B2B"/>
          <w:sz w:val="22"/>
        </w:rPr>
        <w:t>Es de las últimas de la fila</w:t>
      </w:r>
      <w:r>
        <w:rPr>
          <w:rFonts w:ascii="Calibri" w:hAnsi="Calibri"/>
          <w:b w:val="0"/>
          <w:color w:val="2B2B2B"/>
          <w:sz w:val="22"/>
        </w:rPr>
        <w:t>: no toca ningún objetivo.</w:t>
      </w:r>
    </w:p>
    <w:p>
      <w:pPr>
        <w:pStyle w:val="ListBullet"/>
      </w:pPr>
      <w:r>
        <w:rPr>
          <w:rFonts w:ascii="Calibri" w:hAnsi="Calibri"/>
          <w:b/>
          <w:color w:val="2B2B2B"/>
          <w:sz w:val="22"/>
        </w:rPr>
        <w:t>La robustez técnica de la diapositiva 13.</w:t>
      </w:r>
      <w:r>
        <w:rPr>
          <w:rFonts w:ascii="Calibri" w:hAnsi="Calibri"/>
          <w:b w:val="0"/>
          <w:color w:val="2B2B2B"/>
          <w:sz w:val="22"/>
        </w:rPr>
        <w:t xml:space="preserve"> «Su conclusión dice que la validación con seis funcionarios sobre diez licitaciones confirmó que el software posee la robustez técnica necesaria para la toma de decisiones financieras. Robustez técnica frente a qué: ¿carga, concurrencia, indisponibilidad, seguridad? Su capítulo de resultados declara pruebas funcionales, de integración y de usabilidad.» — Es la versión en pantalla del vacío del §4, punto 6, y se vuelve obligatoria si sostienen la frase en voz alta. ⚠️ </w:t>
      </w:r>
      <w:r>
        <w:rPr>
          <w:rFonts w:ascii="Calibri" w:hAnsi="Calibri"/>
          <w:b/>
          <w:color w:val="2B2B2B"/>
          <w:sz w:val="22"/>
        </w:rPr>
        <w:t>Sigue vigente aquí la misma cautela: no leer en voz alta las direcciones de los servidores impresas en la p. 192 ni dejarlas en el acta.</w:t>
      </w:r>
    </w:p>
    <w:p>
      <w:pPr>
        <w:pStyle w:val="ListBullet"/>
      </w:pPr>
      <w:r>
        <w:rPr>
          <w:rFonts w:ascii="Calibri" w:hAnsi="Calibri"/>
          <w:b/>
          <w:color w:val="2B2B2B"/>
          <w:sz w:val="22"/>
        </w:rPr>
        <w:t>La pregunta central que se proyecta sin sus dos marcos.</w:t>
      </w:r>
      <w:r>
        <w:rPr>
          <w:rFonts w:ascii="Calibri" w:hAnsi="Calibri"/>
          <w:b w:val="0"/>
          <w:color w:val="2B2B2B"/>
          <w:sz w:val="22"/>
        </w:rPr>
        <w:t xml:space="preserve"> «La pregunta de investigación del documento pregunta por un sistema basado en modelado BPM y evaluación multicriterio; la que proyectaron pregunta por optimizar, automatizar y aumentar eficiencia organizacional. ¿Cuál es la pregunta que responden, y qué es la eficiencia organizacional en su trabajo: con qué se midió?» — De baja prioridad y </w:t>
      </w:r>
      <w:r>
        <w:rPr>
          <w:rFonts w:ascii="Calibri" w:hAnsi="Calibri"/>
          <w:b/>
          <w:color w:val="2B2B2B"/>
          <w:sz w:val="22"/>
        </w:rPr>
        <w:t>solo si sobra tiempo</w:t>
      </w:r>
      <w:r>
        <w:rPr>
          <w:rFonts w:ascii="Calibri" w:hAnsi="Calibri"/>
          <w:b w:val="0"/>
          <w:color w:val="2B2B2B"/>
          <w:sz w:val="22"/>
        </w:rPr>
        <w:t>: es coherencia de redacción, no un hueco de fondo, y el riesgo es que se lea como pregunta trampa. Su interés real es que «eficiencia organizacional» no es variable en ninguna parte del documento (aparece en la p. 61, como concepto).</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mostraron el sistema en vivo y explicaron el ranking sobre una licitación real →</w:t>
      </w:r>
      <w:r>
        <w:rPr>
          <w:rFonts w:ascii="Calibri" w:hAnsi="Calibri"/>
          <w:b w:val="0"/>
          <w:color w:val="2B2B2B"/>
          <w:sz w:val="22"/>
        </w:rPr>
        <w:t xml:space="preserve"> no leer la pregunta 1: pedir que abran esa misma licitación y señalen en pantalla la columna donde se califica Marca. Es la misma pregunta, mejor contestada, y ahí también cabe la de reserva: a quién sugirió el sistema y a quién adjudicó la Dirección.</w:t>
      </w:r>
    </w:p>
    <w:p>
      <w:pPr>
        <w:pStyle w:val="ListBullet"/>
      </w:pPr>
      <w:r>
        <w:rPr>
          <w:rFonts w:ascii="Calibri" w:hAnsi="Calibri"/>
          <w:b/>
          <w:color w:val="2B2B2B"/>
          <w:sz w:val="22"/>
        </w:rPr>
        <w:t>Si solo mostraron capturas o un video →</w:t>
      </w:r>
      <w:r>
        <w:rPr>
          <w:rFonts w:ascii="Calibri" w:hAnsi="Calibri"/>
          <w:b w:val="0"/>
          <w:color w:val="2B2B2B"/>
          <w:sz w:val="22"/>
        </w:rPr>
        <w:t xml:space="preserve"> pregunta 1 completa y, si hay margen, pedir la vista de Análisis Detalle con el «Proveedor Sugerido» en pantalla (la que en el documento está en la p. 142).</w:t>
      </w:r>
    </w:p>
    <w:p>
      <w:pPr>
        <w:pStyle w:val="ListBullet"/>
      </w:pPr>
      <w:r>
        <w:rPr>
          <w:rFonts w:ascii="Calibri" w:hAnsi="Calibri"/>
          <w:b/>
          <w:color w:val="2B2B2B"/>
          <w:sz w:val="22"/>
        </w:rPr>
        <w:t>Si presentaron la reducción del ciclo como «proyectada» (diap. 5: 10-15 → 4-6 días) y no llevaron la Tabla 55 a la sala →</w:t>
      </w:r>
      <w:r>
        <w:rPr>
          <w:rFonts w:ascii="Calibri" w:hAnsi="Calibri"/>
          <w:b w:val="0"/>
          <w:color w:val="2B2B2B"/>
          <w:sz w:val="22"/>
        </w:rPr>
        <w:t xml:space="preserve"> preguntar directamente: «¿Cuál es el dato medido a hoy?». El documento reporta 12,5 → 4,8 días sobre 10 licitaciones (p. 233) y sería raro que no lo digan; si no lo dicen, hay que dárselo a decir.</w:t>
      </w:r>
    </w:p>
    <w:p>
      <w:pPr>
        <w:pStyle w:val="ListBullet"/>
      </w:pPr>
      <w:r>
        <w:rPr>
          <w:rFonts w:ascii="Calibri" w:hAnsi="Calibri"/>
          <w:b/>
          <w:color w:val="2B2B2B"/>
          <w:sz w:val="22"/>
        </w:rPr>
        <w:t>Si no mostraron ningún KPI en las diapositivas de resultados (11 y 12, que solo llevan BPMN y arquitectura) →</w:t>
      </w:r>
      <w:r>
        <w:rPr>
          <w:rFonts w:ascii="Calibri" w:hAnsi="Calibri"/>
          <w:b w:val="0"/>
          <w:color w:val="2B2B2B"/>
          <w:sz w:val="22"/>
        </w:rPr>
        <w:t xml:space="preserve"> es el escenario más probable, porque </w:t>
      </w:r>
      <w:r>
        <w:rPr>
          <w:rFonts w:ascii="Calibri" w:hAnsi="Calibri"/>
          <w:b/>
          <w:color w:val="2B2B2B"/>
          <w:sz w:val="22"/>
        </w:rPr>
        <w:t>en el mazo no hay una sola cifra de resultado</w:t>
      </w:r>
      <w:r>
        <w:rPr>
          <w:rFonts w:ascii="Calibri" w:hAnsi="Calibri"/>
          <w:b w:val="0"/>
          <w:color w:val="2B2B2B"/>
          <w:sz w:val="22"/>
        </w:rPr>
        <w:t xml:space="preserve"> (§5, punto 1): decidir en el momento entre la pregunta 2 y la 3, no las dos: son ambas sobre números y quedaría un interrogatorio contable. La 1 se hace siempre: es la única técnica.</w:t>
      </w:r>
    </w:p>
    <w:p>
      <w:pPr>
        <w:pStyle w:val="ListBullet"/>
      </w:pPr>
      <w:r>
        <w:rPr>
          <w:rFonts w:ascii="Calibri" w:hAnsi="Calibri"/>
          <w:b/>
          <w:color w:val="2B2B2B"/>
          <w:sz w:val="22"/>
        </w:rPr>
        <w:t>Si afirmaron «100 % de éxito en UAT» sin matizar →</w:t>
      </w:r>
      <w:r>
        <w:rPr>
          <w:rFonts w:ascii="Calibri" w:hAnsi="Calibri"/>
          <w:b w:val="0"/>
          <w:color w:val="2B2B2B"/>
          <w:sz w:val="22"/>
        </w:rPr>
        <w:t xml:space="preserve"> preguntar por los fallos iniciales de interfaz y cómo se reprobó lo corregido. Tienen la respuesta escrita en la p. 240; ver si la conocen.</w:t>
      </w:r>
    </w:p>
    <w:p>
      <w:pPr>
        <w:pStyle w:val="ListBullet"/>
      </w:pPr>
      <w:r>
        <w:rPr>
          <w:rFonts w:ascii="Calibri" w:hAnsi="Calibri"/>
          <w:b/>
          <w:color w:val="2B2B2B"/>
          <w:sz w:val="22"/>
        </w:rPr>
        <w:t>Si dijeron que la madurez digital subió 53 % →</w:t>
      </w:r>
      <w:r>
        <w:rPr>
          <w:rFonts w:ascii="Calibri" w:hAnsi="Calibri"/>
          <w:b w:val="0"/>
          <w:color w:val="2B2B2B"/>
          <w:sz w:val="22"/>
        </w:rPr>
        <w:t xml:space="preserve"> pregunta 3, directa, y pedir que aclaren si son 53 puntos porcentuales o el +151,4 % de la Tabla 55 (p. 233). Es un tirón de una frase y separa a quien entiende su indicador de quien lo recita.</w:t>
      </w:r>
    </w:p>
    <w:p>
      <w:pPr>
        <w:pStyle w:val="ListBullet"/>
      </w:pPr>
      <w:r>
        <w:rPr>
          <w:rFonts w:ascii="Calibri" w:hAnsi="Calibri"/>
          <w:b/>
          <w:color w:val="2B2B2B"/>
          <w:sz w:val="22"/>
        </w:rPr>
        <w:t>Si dijeron que el sistema «elimina la subjetividad» de la adjudicación →</w:t>
      </w:r>
      <w:r>
        <w:rPr>
          <w:rFonts w:ascii="Calibri" w:hAnsi="Calibri"/>
          <w:b w:val="0"/>
          <w:color w:val="2B2B2B"/>
          <w:sz w:val="22"/>
        </w:rPr>
        <w:t xml:space="preserve"> recordarles su propia p. 226 (la decisión final es de la Dirección) y preguntar entonces qué eliminó exactamente: la subjetividad del cálculo o la de la decisión. Es la vía natural a la reserva de concordancia sugerencia-adjudicación.</w:t>
      </w:r>
    </w:p>
    <w:p>
      <w:pPr>
        <w:pStyle w:val="ListBullet"/>
      </w:pPr>
      <w:r>
        <w:rPr>
          <w:rFonts w:ascii="Calibri" w:hAnsi="Calibri"/>
          <w:b/>
          <w:color w:val="2B2B2B"/>
          <w:sz w:val="22"/>
        </w:rPr>
        <w:t>Si mencionaron integración con ERP como algo ya hecho →</w:t>
      </w:r>
      <w:r>
        <w:rPr>
          <w:rFonts w:ascii="Calibri" w:hAnsi="Calibri"/>
          <w:b w:val="0"/>
          <w:color w:val="2B2B2B"/>
          <w:sz w:val="22"/>
        </w:rPr>
        <w:t xml:space="preserve"> contrastar con las limitaciones (pp. 28, 30), donde está excluida del alcance.</w:t>
      </w:r>
    </w:p>
    <w:p>
      <w:pPr>
        <w:pStyle w:val="ListBullet"/>
      </w:pPr>
      <w:r>
        <w:rPr>
          <w:rFonts w:ascii="Calibri" w:hAnsi="Calibri"/>
          <w:b/>
          <w:color w:val="2B2B2B"/>
          <w:sz w:val="22"/>
        </w:rPr>
        <w:t>Si se pasaron del tiempo y saltaron resultados →</w:t>
      </w:r>
      <w:r>
        <w:rPr>
          <w:rFonts w:ascii="Calibri" w:hAnsi="Calibri"/>
          <w:b w:val="0"/>
          <w:color w:val="2B2B2B"/>
          <w:sz w:val="22"/>
        </w:rPr>
        <w:t xml:space="preserve"> ir directo al objetivo 4: «en 30 segundos, ¿qué midieron antes y después, con qué instrumento?».</w:t>
      </w:r>
    </w:p>
    <w:p>
      <w:pPr>
        <w:pStyle w:val="ListBullet"/>
      </w:pPr>
      <w:r>
        <w:rPr>
          <w:rFonts w:ascii="Calibri" w:hAnsi="Calibri"/>
          <w:b/>
          <w:color w:val="2B2B2B"/>
          <w:sz w:val="22"/>
        </w:rPr>
        <w:t>Si solo habló un integrante →</w:t>
      </w:r>
      <w:r>
        <w:rPr>
          <w:rFonts w:ascii="Calibri" w:hAnsi="Calibri"/>
          <w:b w:val="0"/>
          <w:color w:val="2B2B2B"/>
          <w:sz w:val="22"/>
        </w:rPr>
        <w:t xml:space="preserve"> pedir explícitamente a otro que explique el motor multicriterio de las pp. 143-144 o las reglas de negocio RN-01 a RN-12 del TO-BE (</w:t>
      </w:r>
      <w:r>
        <w:rPr>
          <w:rFonts w:ascii="Calibri" w:hAnsi="Calibri"/>
          <w:b/>
          <w:color w:val="2B2B2B"/>
          <w:sz w:val="22"/>
        </w:rPr>
        <w:t>pp. 174-175</w:t>
      </w:r>
      <w:r>
        <w:rPr>
          <w:rFonts w:ascii="Calibri" w:hAnsi="Calibri"/>
          <w:b w:val="0"/>
          <w:color w:val="2B2B2B"/>
          <w:sz w:val="22"/>
        </w:rPr>
        <w:t>, no 176: la 176 ya son eventos y compuertas BPMN). Es la vía legítima para verificar dominio individual; en un trabajo con esta carga técnica, es imprescindible saber si el equipo entero lo entiende o si hay un solo autor del sistema.</w:t>
      </w:r>
    </w:p>
    <w:p>
      <w:pPr>
        <w:pStyle w:val="ListBullet"/>
      </w:pPr>
      <w:r>
        <w:rPr>
          <w:rFonts w:ascii="Calibri" w:hAnsi="Calibri"/>
          <w:b/>
          <w:color w:val="2B2B2B"/>
          <w:sz w:val="22"/>
        </w:rPr>
        <w:t>Si el que expone lo técnico no puede explicar el ADKAR, o viceversa →</w:t>
      </w:r>
      <w:r>
        <w:rPr>
          <w:rFonts w:ascii="Calibri" w:hAnsi="Calibri"/>
          <w:b w:val="0"/>
          <w:color w:val="2B2B2B"/>
          <w:sz w:val="22"/>
        </w:rPr>
        <w:t xml:space="preserve"> no insistir: anotarlo como dominio parcial del equipo y usarlo al calibrar la nota, no para acorralar en público.</w:t>
      </w:r>
    </w:p>
    <w:p>
      <w:pPr>
        <w:pStyle w:val="ListBullet"/>
      </w:pPr>
      <w:r>
        <w:rPr>
          <w:rFonts w:ascii="Calibri" w:hAnsi="Calibri"/>
          <w:b/>
          <w:color w:val="2B2B2B"/>
          <w:sz w:val="22"/>
        </w:rPr>
        <w:t>Si leyeron las diapositivas palabra por palabra →</w:t>
      </w:r>
      <w:r>
        <w:rPr>
          <w:rFonts w:ascii="Calibri" w:hAnsi="Calibri"/>
          <w:b w:val="0"/>
          <w:color w:val="2B2B2B"/>
          <w:sz w:val="22"/>
        </w:rPr>
        <w:t xml:space="preserve"> no se pregunta, se anota: afecta claridad y dominio.</w:t>
      </w:r>
    </w:p>
    <w:p>
      <w:pPr>
        <w:spacing w:before="200" w:after="60"/>
      </w:pPr>
      <w:r>
        <w:rPr>
          <w:rFonts w:ascii="Calibri" w:hAnsi="Calibri"/>
          <w:b/>
          <w:color w:val="007433"/>
          <w:sz w:val="32"/>
        </w:rPr>
        <w:t>8. Umbrales de nota (escala 0,1–5,0, cuatro criterios del jurado)</w:t>
      </w:r>
    </w:p>
    <w:p>
      <w:r>
        <w:rPr>
          <w:rFonts w:ascii="Calibri" w:hAnsi="Calibri"/>
          <w:b w:val="0"/>
          <w:color w:val="2B2B2B"/>
          <w:sz w:val="22"/>
        </w:rPr>
        <w:t xml:space="preserve">Criterios: </w:t>
      </w:r>
      <w:r>
        <w:rPr>
          <w:rFonts w:ascii="Calibri" w:hAnsi="Calibri"/>
          <w:b/>
          <w:color w:val="2B2B2B"/>
          <w:sz w:val="22"/>
        </w:rPr>
        <w:t>dominio del tema · claridad · coherencia del documento · capacidad de defensa.</w:t>
      </w:r>
      <w:r>
        <w:rPr>
          <w:rFonts w:ascii="Calibri" w:hAnsi="Calibri"/>
          <w:b w:val="0"/>
          <w:color w:val="2B2B2B"/>
          <w:sz w:val="22"/>
        </w:rPr>
        <w:t xml:space="preserve"> Nivel exigido: especialización profesionalizante. No se le pide aporte teórico original ni validación externa de instrumentos; se le pide coherencia, producto y honestidad sobre los límites.</w:t>
      </w:r>
    </w:p>
    <w:p>
      <w:pPr>
        <w:pStyle w:val="ListBullet"/>
      </w:pPr>
      <w:r>
        <w:rPr>
          <w:rFonts w:ascii="Calibri" w:hAnsi="Calibri"/>
          <w:b/>
          <w:color w:val="2B2B2B"/>
          <w:sz w:val="22"/>
        </w:rPr>
        <w:t>4,6 – 5,0 (excelente / candidato a meritoria).</w:t>
      </w:r>
      <w:r>
        <w:rPr>
          <w:rFonts w:ascii="Calibri" w:hAnsi="Calibri"/>
          <w:b w:val="0"/>
          <w:color w:val="2B2B2B"/>
          <w:sz w:val="22"/>
        </w:rPr>
        <w:t xml:space="preserve"> Necesito </w:t>
      </w:r>
      <w:r>
        <w:rPr>
          <w:rFonts w:ascii="Calibri" w:hAnsi="Calibri"/>
          <w:b/>
          <w:color w:val="2B2B2B"/>
          <w:sz w:val="22"/>
        </w:rPr>
        <w:t>las dos cosas</w:t>
      </w:r>
      <w:r>
        <w:rPr>
          <w:rFonts w:ascii="Calibri" w:hAnsi="Calibri"/>
          <w:b w:val="0"/>
          <w:color w:val="2B2B2B"/>
          <w:sz w:val="22"/>
        </w:rPr>
        <w:t xml:space="preserve">: (a) que el sistema se vea o se explique operando sobre una licitación real, con la cifra de concordancia entre el proveedor sugerido y el adjudicado; y (b) que asuman con precisión conceptual que lo que midieron es adopción ADKAR y no las cinco dimensiones de madurez de la p. 76, con un origen claro del 35 %. Súmese que los tres respondan, cada uno sobre lo suyo, y que las 32 horas queden explicadas. </w:t>
      </w:r>
      <w:r>
        <w:rPr>
          <w:rFonts w:ascii="Calibri" w:hAnsi="Calibri"/>
          <w:b/>
          <w:color w:val="2B2B2B"/>
          <w:sz w:val="22"/>
        </w:rPr>
        <w:t>Recordatorio: 5,0 no es «me gustó»: es proponer laureada y exige acuerdo de ambos jurados.</w:t>
      </w:r>
    </w:p>
    <w:p>
      <w:pPr>
        <w:pStyle w:val="ListBullet"/>
      </w:pPr>
      <w:r>
        <w:rPr>
          <w:rFonts w:ascii="Calibri" w:hAnsi="Calibri"/>
          <w:b/>
          <w:color w:val="2B2B2B"/>
          <w:sz w:val="22"/>
        </w:rPr>
        <w:t>4,0 – 4,5 (buen desempeño).</w:t>
      </w:r>
      <w:r>
        <w:rPr>
          <w:rFonts w:ascii="Calibri" w:hAnsi="Calibri"/>
          <w:b w:val="0"/>
          <w:color w:val="2B2B2B"/>
          <w:sz w:val="22"/>
        </w:rPr>
        <w:t xml:space="preserve"> Es el rango de llegada esperable con lo que trae el documento, y es un documento fuerte: producto en producción, AS-IS cuantificado e ingeniería documentada. Caen aquí si defienden bien el sistema pero no pueden precisar el origen del 35 %, o si el número de las 32 horas queda sin desglosar, o si solo uno de los tres domina la parte técnica. Sin la cifra de concordancia ranking-adjudicación y sin origen del 35 %, difícilmente pasa de </w:t>
      </w:r>
      <w:r>
        <w:rPr>
          <w:rFonts w:ascii="Calibri" w:hAnsi="Calibri"/>
          <w:b/>
          <w:color w:val="2B2B2B"/>
          <w:sz w:val="22"/>
        </w:rPr>
        <w:t>4,4</w:t>
      </w:r>
      <w:r>
        <w:rPr>
          <w:rFonts w:ascii="Calibri" w:hAnsi="Calibri"/>
          <w:b w:val="0"/>
          <w:color w:val="2B2B2B"/>
          <w:sz w:val="22"/>
        </w:rPr>
        <w:t>.</w:t>
      </w:r>
    </w:p>
    <w:p>
      <w:pPr>
        <w:pStyle w:val="ListBullet"/>
      </w:pPr>
      <w:r>
        <w:rPr>
          <w:rFonts w:ascii="Calibri" w:hAnsi="Calibri"/>
          <w:b/>
          <w:color w:val="2B2B2B"/>
          <w:sz w:val="22"/>
        </w:rPr>
        <w:t>3,6 – 3,9.</w:t>
      </w:r>
      <w:r>
        <w:rPr>
          <w:rFonts w:ascii="Calibri" w:hAnsi="Calibri"/>
          <w:b w:val="0"/>
          <w:color w:val="2B2B2B"/>
          <w:sz w:val="22"/>
        </w:rPr>
        <w:t xml:space="preserve"> Si aparece que la medición «antes y después» de madurez digital no existió como tal y además la defienden como si existiera, o si no pueden explicar cómo funciona su propio motor de ponderación.</w:t>
      </w:r>
    </w:p>
    <w:p>
      <w:pPr>
        <w:pStyle w:val="ListBullet"/>
      </w:pPr>
      <w:r>
        <w:rPr>
          <w:rFonts w:ascii="Calibri" w:hAnsi="Calibri"/>
          <w:b/>
          <w:color w:val="2B2B2B"/>
          <w:sz w:val="22"/>
        </w:rPr>
        <w:t>3,0 – 3,5 (aceptable).</w:t>
      </w:r>
      <w:r>
        <w:rPr>
          <w:rFonts w:ascii="Calibri" w:hAnsi="Calibri"/>
          <w:b w:val="0"/>
          <w:color w:val="2B2B2B"/>
          <w:sz w:val="22"/>
        </w:rPr>
        <w:t xml:space="preserve"> Si no logran mostrar ni explicar el sistema en funcionamiento, o si atribuyen al trabajo resultados que el documento no soporta (por ejemplo, sostener que hubo pruebas de seguridad o acta firmada de aceptación cuando el documento dice lo contrario).</w:t>
      </w:r>
    </w:p>
    <w:p>
      <w:pPr>
        <w:pStyle w:val="ListBullet"/>
      </w:pPr>
      <w:r>
        <w:rPr>
          <w:rFonts w:ascii="Calibri" w:hAnsi="Calibri"/>
          <w:b/>
          <w:color w:val="2B2B2B"/>
          <w:sz w:val="22"/>
        </w:rPr>
        <w:t>Por debajo de 3,0.</w:t>
      </w:r>
      <w:r>
        <w:rPr>
          <w:rFonts w:ascii="Calibri" w:hAnsi="Calibri"/>
          <w:b w:val="0"/>
          <w:color w:val="2B2B2B"/>
          <w:sz w:val="22"/>
        </w:rPr>
        <w:t xml:space="preserve"> No lo veo posible: hay sistema en producción, 10 licitaciones gestionadas, modelo de datos y medio centenar de capturas de prueba. Solo lo justificaría una defensa en la que ningún integrante pueda explicar lo que entregó.</w:t>
      </w:r>
    </w:p>
    <w:p>
      <w:r>
        <w:rPr>
          <w:rFonts w:ascii="Calibri" w:hAnsi="Calibri"/>
          <w:b/>
          <w:color w:val="2B2B2B"/>
          <w:sz w:val="22"/>
        </w:rPr>
        <w:t>Mi posición de partida antes de la sala: 4,2 – 4,6</w:t>
      </w:r>
      <w:r>
        <w:rPr>
          <w:rFonts w:ascii="Calibri" w:hAnsi="Calibri"/>
          <w:b w:val="0"/>
          <w:color w:val="2B2B2B"/>
          <w:sz w:val="22"/>
        </w:rPr>
        <w:t xml:space="preserve">, y lo que mueve la aguja es una sola cosa: </w:t>
      </w:r>
      <w:r>
        <w:rPr>
          <w:rFonts w:ascii="Calibri" w:hAnsi="Calibri"/>
          <w:b/>
          <w:color w:val="2B2B2B"/>
          <w:sz w:val="22"/>
        </w:rPr>
        <w:t>cómo respondan por sus propios números</w:t>
      </w:r>
      <w:r>
        <w:rPr>
          <w:rFonts w:ascii="Calibri" w:hAnsi="Calibri"/>
          <w:b w:val="0"/>
          <w:color w:val="2B2B2B"/>
          <w:sz w:val="22"/>
        </w:rPr>
        <w:t xml:space="preserve"> (el 35 % de línea base y las 32 horas). El producto no está en duda; la medición del impacto sí.</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Es el problema mejor cuantificado del cohorte: línea base </w:t>
      </w:r>
      <w:r>
        <w:rPr>
          <w:rFonts w:ascii="Calibri" w:hAnsi="Calibri"/>
          <w:b/>
          <w:color w:val="2B2B2B"/>
          <w:sz w:val="22"/>
        </w:rPr>
        <w:t>medida</w:t>
      </w:r>
      <w:r>
        <w:rPr>
          <w:rFonts w:ascii="Calibri" w:hAnsi="Calibri"/>
          <w:b w:val="0"/>
          <w:color w:val="2B2B2B"/>
          <w:sz w:val="22"/>
        </w:rPr>
        <w:t>, no estimada —50 % de error manual, ~32 h de consolidación y evaluación, ciclo de ~12,5 días (p. 100)— sobre un registro de observación de 16 actividades con tiempos (pp. 97-99). Baja de 5 por dos cosas de formulación: el título dice «inteligente» cuando el motor es una fórmula ponderada determinista y la IA queda como trabajo futuro (p. 242), y el capítulo de metodología está redactado en futuro.</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El aparato de ingeniería está bien referenciado en su práctica —BPMN AS-IS (p. 167) y TO-BE (p. 178), reglas de negocio RN-01 a RN-12, decisión multicriterio con pesos declarados (pp. 143-144)—, pero para 249 páginas la base conceptual es delgada: 21 referencias, y </w:t>
      </w:r>
      <w:r>
        <w:rPr>
          <w:rFonts w:ascii="Calibri" w:hAnsi="Calibri"/>
          <w:b/>
          <w:color w:val="2B2B2B"/>
          <w:sz w:val="22"/>
        </w:rPr>
        <w:t>seis obras citadas no están en la lista</w:t>
      </w:r>
      <w:r>
        <w:rPr>
          <w:rFonts w:ascii="Calibri" w:hAnsi="Calibri"/>
          <w:b w:val="0"/>
          <w:color w:val="2B2B2B"/>
          <w:sz w:val="22"/>
        </w:rPr>
        <w:t>. Sobre todo, no hay referente que sustente el instrumento de madurez digital que el OE4 usa como vara.</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Diseño mixto con </w:t>
      </w:r>
      <w:r>
        <w:rPr>
          <w:rFonts w:ascii="Calibri" w:hAnsi="Calibri"/>
          <w:b/>
          <w:color w:val="2B2B2B"/>
          <w:sz w:val="22"/>
        </w:rPr>
        <w:t>censo de los 6 funcionarios</w:t>
      </w:r>
      <w:r>
        <w:rPr>
          <w:rFonts w:ascii="Calibri" w:hAnsi="Calibri"/>
          <w:b w:val="0"/>
          <w:color w:val="2B2B2B"/>
          <w:sz w:val="22"/>
        </w:rPr>
        <w:t xml:space="preserve"> —cuando la población son 6, el censo es la decisión correcta y está bien argumentada— y línea base medida con cronómetro. El reparo de fondo: el instrumento del OE4 no es el que se declaró. La p. 76 anuncia cinco dimensiones en escala 1-5 antes y después; lo que se reporta en las pp. 235-236 es la matriz ADKAR de adopción rebautizada «Índice de Madurez Digital», y </w:t>
      </w:r>
      <w:r>
        <w:rPr>
          <w:rFonts w:ascii="Calibri" w:hAnsi="Calibri"/>
          <w:b/>
          <w:color w:val="2B2B2B"/>
          <w:sz w:val="22"/>
        </w:rPr>
        <w:t>el 35 % de línea base no tiene instrumento, fecha ni encuestados</w:t>
      </w:r>
      <w:r>
        <w:rPr>
          <w:rFonts w:ascii="Calibri" w:hAnsi="Calibri"/>
          <w:b w:val="0"/>
          <w:color w:val="2B2B2B"/>
          <w:sz w:val="22"/>
        </w:rPr>
        <w:t>. Las pruebas de seguridad se anuncian (p. 68) y no se reportan (p. 228).</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Producto </w:t>
      </w:r>
      <w:r>
        <w:rPr>
          <w:rFonts w:ascii="Calibri" w:hAnsi="Calibri"/>
          <w:b/>
          <w:color w:val="2B2B2B"/>
          <w:sz w:val="22"/>
        </w:rPr>
        <w:t>en producción real on-premise desde el 1/6/2026 con 10 licitaciones tramitadas</w:t>
      </w:r>
      <w:r>
        <w:rPr>
          <w:rFonts w:ascii="Calibri" w:hAnsi="Calibri"/>
          <w:b w:val="0"/>
          <w:color w:val="2B2B2B"/>
          <w:sz w:val="22"/>
        </w:rPr>
        <w:t xml:space="preserve"> (p. 181), con API REST documentada endpoint por endpoint (pp. 117-158) y ~50 capturas de prueba (Figs. 35-86); la Tabla 55 (p. 233) reporta 12,5 → 4,8 días (−61,6 %), 32 h → 0,5 h, error 50 % → 0 % y madurez 35 % → 88 %. Lo que impide el 5: las </w:t>
      </w:r>
      <w:r>
        <w:rPr>
          <w:rFonts w:ascii="Calibri" w:hAnsi="Calibri"/>
          <w:b/>
          <w:color w:val="2B2B2B"/>
          <w:sz w:val="22"/>
        </w:rPr>
        <w:t>32 horas están contadas dos veces</w:t>
      </w:r>
      <w:r>
        <w:rPr>
          <w:rFonts w:ascii="Calibri" w:hAnsi="Calibri"/>
          <w:b w:val="0"/>
          <w:color w:val="2B2B2B"/>
          <w:sz w:val="22"/>
        </w:rPr>
        <w:t xml:space="preserve"> en esa misma tabla, el mismo resultado se reporta como +151,4 % y como 53 %, la mejora de madurez se mide con el instrumento equivocado y el acta de aceptación sigue «(pendiente)» (p. 73).</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5</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Un sistema en producción en una empresa real, que sustituye un proceso de negocio completo y cuyo efecto operativo se puede discutir con cifras: es el caso más claro de transformación digital ejecutada de la jornada, junto con G-001.</w:t>
      </w:r>
    </w:p>
    <w:p>
      <w:r>
        <w:rPr>
          <w:rFonts w:ascii="Calibri" w:hAnsi="Calibri"/>
          <w:b/>
          <w:color w:val="2B2B2B"/>
          <w:sz w:val="22"/>
        </w:rPr>
        <w:t>Suma propuesta: 19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5</w:t>
      </w:r>
      <w:r>
        <w:rPr>
          <w:rFonts w:ascii="Calibri" w:hAnsi="Calibri"/>
          <w:b w:val="0"/>
          <w:color w:val="2B2B2B"/>
          <w:sz w:val="22"/>
        </w:rPr>
        <w:t xml:space="preserve"> si aclaran si las 32 horas son dos bloques distintos o el mismo contado dos veces (pregunta prioritaria 3) y si responden con qué instrumento, cuándo y a quiénes se midió el 35 % (pregunta 1) —o reconocen que ese 35 % no tiene instrumento—. Preguntar en cuántas de las 10 licitaciones se adjudicó al proveedor sugerido (pregunta 2) puede subir el criterio 3 a 4: sería evidencia de uso, no de despliegue.</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4 baja a 3</w:t>
      </w:r>
      <w:r>
        <w:rPr>
          <w:rFonts w:ascii="Calibri" w:hAnsi="Calibri"/>
          <w:b w:val="0"/>
          <w:color w:val="2B2B2B"/>
          <w:sz w:val="22"/>
        </w:rPr>
        <w:t xml:space="preserve"> si defienden el 35 % → 88 % como medición del instrumento de la p. 76. Cuidado con lo que se lee en voz alta: el documento va marcado «CONFIDENCIAL» y las capturas traen datos de proveedores y estados financieros.</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Fechas incoherentes en la portada y las firmas.</w:t>
      </w:r>
      <w:r>
        <w:rPr>
          <w:rFonts w:ascii="Calibri" w:hAnsi="Calibri"/>
          <w:b w:val="0"/>
          <w:color w:val="2B2B2B"/>
          <w:sz w:val="22"/>
        </w:rPr>
        <w:t xml:space="preserve"> Portada, declaración de originalidad y declaración de exoneración están fechadas en </w:t>
      </w:r>
      <w:r>
        <w:rPr>
          <w:rFonts w:ascii="Calibri" w:hAnsi="Calibri"/>
          <w:b/>
          <w:color w:val="2B2B2B"/>
          <w:sz w:val="22"/>
        </w:rPr>
        <w:t>marzo de 2026</w:t>
      </w:r>
      <w:r>
        <w:rPr>
          <w:rFonts w:ascii="Calibri" w:hAnsi="Calibri"/>
          <w:b w:val="0"/>
          <w:color w:val="2B2B2B"/>
          <w:sz w:val="22"/>
        </w:rPr>
        <w:t xml:space="preserve"> (pp. 1, 18, 19), mientras el sistema entró en operación el </w:t>
      </w:r>
      <w:r>
        <w:rPr>
          <w:rFonts w:ascii="Calibri" w:hAnsi="Calibri"/>
          <w:b/>
          <w:color w:val="2B2B2B"/>
          <w:sz w:val="22"/>
        </w:rPr>
        <w:t>1 de junio de 2026</w:t>
      </w:r>
      <w:r>
        <w:rPr>
          <w:rFonts w:ascii="Calibri" w:hAnsi="Calibri"/>
          <w:b w:val="0"/>
          <w:color w:val="2B2B2B"/>
          <w:sz w:val="22"/>
        </w:rPr>
        <w:t xml:space="preserve"> (p. 181) y los resultados cubren las 10 licitaciones posteriores. Las firmas de originalidad son anteriores al contenido que respaldan: conviene que se actualice la fecha antes del acta.</w:t>
      </w:r>
    </w:p>
    <w:p>
      <w:pPr>
        <w:pStyle w:val="ListNumber"/>
      </w:pPr>
      <w:r>
        <w:rPr>
          <w:rFonts w:ascii="Calibri" w:hAnsi="Calibri"/>
          <w:b/>
          <w:color w:val="2B2B2B"/>
          <w:sz w:val="22"/>
        </w:rPr>
        <w:t>Equipo de 3 integrantes:</w:t>
      </w:r>
      <w:r>
        <w:rPr>
          <w:rFonts w:ascii="Calibri" w:hAnsi="Calibri"/>
          <w:b w:val="0"/>
          <w:color w:val="2B2B2B"/>
          <w:sz w:val="22"/>
        </w:rPr>
        <w:t xml:space="preserve"> cumple el máximo de la norma. Los tres nombres completos están en la portada y en las dos declaraciones firmadas (pp. 1, 18-19).</w:t>
      </w:r>
    </w:p>
    <w:p>
      <w:pPr>
        <w:pStyle w:val="ListNumber"/>
      </w:pPr>
      <w:r>
        <w:rPr>
          <w:rFonts w:ascii="Calibri" w:hAnsi="Calibri"/>
          <w:b/>
          <w:color w:val="2B2B2B"/>
          <w:sz w:val="22"/>
        </w:rPr>
        <w:t>Línea de profundización:</w:t>
      </w:r>
      <w:r>
        <w:rPr>
          <w:rFonts w:ascii="Calibri" w:hAnsi="Calibri"/>
          <w:b w:val="0"/>
          <w:color w:val="2B2B2B"/>
          <w:sz w:val="22"/>
        </w:rPr>
        <w:t xml:space="preserve"> la portada dice «Gestión y Tecnologías» (p. 1) y el cronograma «Gestión y Tecnología». Unificar el nombre oficial.</w:t>
      </w:r>
    </w:p>
    <w:p>
      <w:pPr>
        <w:pStyle w:val="ListNumber"/>
      </w:pPr>
      <w:r>
        <w:rPr>
          <w:rFonts w:ascii="Calibri" w:hAnsi="Calibri"/>
          <w:b/>
          <w:color w:val="2B2B2B"/>
          <w:sz w:val="22"/>
        </w:rPr>
        <w:t>La marca «CONFIDENCIAL» está donde no hace falta y falta donde sí.</w:t>
      </w:r>
      <w:r>
        <w:rPr>
          <w:rFonts w:ascii="Calibri" w:hAnsi="Calibri"/>
          <w:b w:val="0"/>
          <w:color w:val="2B2B2B"/>
          <w:sz w:val="22"/>
        </w:rPr>
        <w:t xml:space="preserve"> Verificado sobre el texto de las 249 páginas: la marca va en el </w:t>
      </w:r>
      <w:r>
        <w:rPr>
          <w:rFonts w:ascii="Calibri" w:hAnsi="Calibri"/>
          <w:b/>
          <w:color w:val="2B2B2B"/>
          <w:sz w:val="22"/>
        </w:rPr>
        <w:t>pie</w:t>
      </w:r>
      <w:r>
        <w:rPr>
          <w:rFonts w:ascii="Calibri" w:hAnsi="Calibri"/>
          <w:b w:val="0"/>
          <w:color w:val="2B2B2B"/>
          <w:sz w:val="22"/>
        </w:rPr>
        <w:t xml:space="preserve"> (no en el encabezado) y aparece en </w:t>
      </w:r>
      <w:r>
        <w:rPr>
          <w:rFonts w:ascii="Calibri" w:hAnsi="Calibri"/>
          <w:b/>
          <w:color w:val="2B2B2B"/>
          <w:sz w:val="22"/>
        </w:rPr>
        <w:t>solo cinco páginas —96, 97, 98, 99 y 108—</w:t>
      </w:r>
      <w:r>
        <w:rPr>
          <w:rFonts w:ascii="Calibri" w:hAnsi="Calibri"/>
          <w:b w:val="0"/>
          <w:color w:val="2B2B2B"/>
          <w:sz w:val="22"/>
        </w:rPr>
        <w:t xml:space="preserve">, todas del registro de observación. No está en ninguna de las páginas con datos sensibles: los precios unitarios ofertados por proveedor con razón social están en las pp. 110-113, los ingresos e inventarios en pesos por proveedor en la p. 157, y las direcciones de los servidores de prueba y de producción, impresas en texto, en la p. 192. La p. 144 no es una captura: es la lista de campos de la pantalla, y sí anuncia «Ingreso: Estados financieros del año anterior». Las pp. 202-206 son capturas y su contenido es imagen, no texto legible. Si el acta o la ficha se archivan, conviene verificar con la empresa el permiso de divulgación; el documento no incluye carta de autorización de la organización (buscada en preliminares, pp. 18-19, y en anexos, pp. 248-249). ⚠️ </w:t>
      </w:r>
      <w:r>
        <w:rPr>
          <w:rFonts w:ascii="Calibri" w:hAnsi="Calibri"/>
          <w:b/>
          <w:color w:val="2B2B2B"/>
          <w:sz w:val="22"/>
        </w:rPr>
        <w:t>No leer en voz alta las direcciones de la p. 192 ni transcribirlas al acta.</w:t>
      </w:r>
    </w:p>
    <w:p>
      <w:pPr>
        <w:pStyle w:val="ListNumber"/>
      </w:pPr>
      <w:r>
        <w:rPr>
          <w:rFonts w:ascii="Calibri" w:hAnsi="Calibri"/>
          <w:b/>
          <w:color w:val="2B2B2B"/>
          <w:sz w:val="22"/>
        </w:rPr>
        <w:t>Anexos anunciados y de contenido no legible como texto.</w:t>
      </w:r>
      <w:r>
        <w:rPr>
          <w:rFonts w:ascii="Calibri" w:hAnsi="Calibri"/>
          <w:b w:val="0"/>
          <w:color w:val="2B2B2B"/>
          <w:sz w:val="22"/>
        </w:rPr>
        <w:t xml:space="preserve"> El anexo 1 (respuestas de entrevistas) y el anexo 2 (registros de observación) ocupan solo dos páginas finales con sus títulos (pp. 248-249); el acta de aceptación funcional, el manual técnico, el manual de usuario y el informe de validación —entregables declarados en las pp. 29-30— no aparecen en el documento ni en la carpeta del grupo. Si existen, deberían adjuntarse.</w:t>
      </w:r>
    </w:p>
    <w:p>
      <w:pPr>
        <w:pStyle w:val="ListNumber"/>
      </w:pPr>
      <w:r>
        <w:rPr>
          <w:rFonts w:ascii="Calibri" w:hAnsi="Calibri"/>
          <w:b/>
          <w:color w:val="2B2B2B"/>
          <w:sz w:val="22"/>
        </w:rPr>
        <w:t>Sin reporte de similitud, cronograma ni presupuesto</w:t>
      </w:r>
      <w:r>
        <w:rPr>
          <w:rFonts w:ascii="Calibri" w:hAnsi="Calibri"/>
          <w:b w:val="0"/>
          <w:color w:val="2B2B2B"/>
          <w:sz w:val="22"/>
        </w:rPr>
        <w:t xml:space="preserve"> en el documento (búsqueda de texto sobre las 249 páginas). Corresponde al metodólogo, que lleva el 75 % de la nota; se registra para la Dirección, no para descontar en la sustentación.</w:t>
      </w:r>
    </w:p>
    <w:p>
      <w:pPr>
        <w:pStyle w:val="ListNumber"/>
      </w:pPr>
      <w:r>
        <w:rPr>
          <w:rFonts w:ascii="Calibri" w:hAnsi="Calibri"/>
          <w:b/>
          <w:color w:val="2B2B2B"/>
          <w:sz w:val="22"/>
        </w:rPr>
        <w:t>La docente asesora del trabajo es también la moderadora de la sesión</w:t>
      </w:r>
      <w:r>
        <w:rPr>
          <w:rFonts w:ascii="Calibri" w:hAnsi="Calibri"/>
          <w:b w:val="0"/>
          <w:color w:val="2B2B2B"/>
          <w:sz w:val="22"/>
        </w:rPr>
        <w:t xml:space="preserve"> (María Fernanda Rivera Sanclemente, p. 1). Es lo previsto en el cronograma para todos los grupos de esta hoja; se anota solo por transparencia del acta.</w:t>
      </w:r>
    </w:p>
    <w:p>
      <w:pPr>
        <w:pStyle w:val="ListNumber"/>
      </w:pPr>
      <w:r>
        <w:rPr>
          <w:rFonts w:ascii="Calibri" w:hAnsi="Calibri"/>
          <w:b/>
          <w:color w:val="2B2B2B"/>
          <w:sz w:val="22"/>
        </w:rPr>
        <w:t>Lo que había aquí sobre la presentación ahora está en la §5.</w:t>
      </w:r>
      <w:r>
        <w:rPr>
          <w:rFonts w:ascii="Calibri" w:hAnsi="Calibri"/>
          <w:b w:val="0"/>
          <w:color w:val="2B2B2B"/>
          <w:sz w:val="22"/>
        </w:rPr>
        <w:t xml:space="preserve"> Las diapositivas repetidas, el cambio de «semiestructuradas» a «estructuradas» y las obras citadas sin entrada en la diapositiva de referencias son observaciones del mazo, no administrativas: §5, puntos 6, 8 y 9. Los tres van a la </w:t>
      </w:r>
      <w:r>
        <w:rPr>
          <w:rFonts w:ascii="Calibri" w:hAnsi="Calibri"/>
          <w:b/>
          <w:color w:val="2B2B2B"/>
          <w:sz w:val="22"/>
        </w:rPr>
        <w:t>retroalimentación</w:t>
      </w:r>
      <w:r>
        <w:rPr>
          <w:rFonts w:ascii="Calibri" w:hAnsi="Calibri"/>
          <w:b w:val="0"/>
          <w:color w:val="2B2B2B"/>
          <w:sz w:val="22"/>
        </w:rPr>
        <w:t>, no a la evaluación.</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