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06 · 26ET2-G-006 — Sistema web inteligente de licitaciones para la Agroindustrial de Palma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martes 18 de agosto de 2026 · 7:40 – 8:00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Edwin Vivas Soto: ____________________________________________________________________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Ingrid Johanna Romero Lázaro: _________________________________________________________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Jimmy Leandro Calderón Rubio: 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REQUISITOS PARA 4,6+ — marcarlos aquí, cuando ocurran</w:t>
      </w:r>
      <w:r>
        <w:rPr>
          <w:rFonts w:ascii="Calibri" w:hAnsi="Calibri"/>
          <w:b w:val="0"/>
          <w:color w:val="2B2B2B"/>
          <w:sz w:val="22"/>
        </w:rPr>
        <w:t xml:space="preserve"> (§8 de la ficha; se cumplen durante la exposición, no al final)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el sistema se vea o se explique operando sobre una licitación real, con la cifra de concordancia entre proveedor sugerido y adjudicado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Que asuman que lo medido es adopción ADKAR y no las cinco dimensiones de la p. 76, con origen claro del 35 %. Más las 32 horas explicadas y que los tres respondan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(§7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mostraron el sistema en vivo y explicaron el ranking sobre una licitación real → no leer la P1: pedir que señalen en pantalla la columna donde se califica Marca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solo mostraron capturas o un video → P1 completa y pedir la vista de Análisis Detalle con el «Proveedor Sugerido» en pantalla  </w:t>
      </w:r>
      <w:r>
        <w:rPr>
          <w:rFonts w:ascii="Calibri" w:hAnsi="Calibri"/>
          <w:b/>
          <w:color w:val="2B2B2B"/>
          <w:sz w:val="22"/>
        </w:rPr>
        <w:t>(p. 142)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presentaron la reducción del ciclo como «proyectada» (diap. 5) y no llevaron la Tabla 55 → P2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«¿Cuál es el dato medido a hoy?»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mostraron ningún KPI en las diapositivas 11 y 12 → pedir los resultados en una frase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afirmaron «100 % de éxito en UAT» sin matizar → pedir alcance y quién firmó  </w:t>
      </w:r>
      <w:r>
        <w:rPr>
          <w:rFonts w:ascii="Calibri" w:hAnsi="Calibri"/>
          <w:b/>
          <w:color w:val="2B2B2B"/>
          <w:sz w:val="22"/>
        </w:rPr>
        <w:t>(p. 240)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dijeron que la madurez digital subió 53 % → P3, directa  </w:t>
      </w:r>
      <w:r>
        <w:rPr>
          <w:rFonts w:ascii="Calibri" w:hAnsi="Calibri"/>
          <w:b/>
          <w:color w:val="2B2B2B"/>
          <w:sz w:val="22"/>
        </w:rPr>
        <w:t>(p. 233)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dijeron que el sistema «elimina la subjetividad» de la adjudicación → R: concordancia sugerencia-adjudicación  </w:t>
      </w:r>
      <w:r>
        <w:rPr>
          <w:rFonts w:ascii="Calibri" w:hAnsi="Calibri"/>
          <w:b/>
          <w:color w:val="2B2B2B"/>
          <w:sz w:val="22"/>
        </w:rPr>
        <w:t>(p. 226)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mencionaron integración con ERP como algo ya hecho → contrastar con las limitaciones (pp. 28, 30), donde está excluida del alcance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pasaron del tiempo y saltaron resultados → ir directo al objetivo 4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«en 30 segundos, ¿qué midieron antes y después, con qué instrumento?»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Si solo habló un integrante → repartir: uno el motor, otro el ADKAR, otro los datos  </w:t>
      </w:r>
      <w:r>
        <w:rPr>
          <w:rFonts w:ascii="Calibri" w:hAnsi="Calibri"/>
          <w:b/>
          <w:color w:val="2B2B2B"/>
          <w:sz w:val="22"/>
        </w:rPr>
        <w:t>(pp. 143-144)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el que expone lo técnico no puede explicar el ADKAR, o viceversa → no insistir: anotarlo como dominio parcial del equipo y usarlo al calibrar la nota, no para acorralar en público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leyeron las diapositivas palabra por palabra → no se pregunta, se anota: afecta claridad y dominio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Dónde entra el 20 % de Marca en el puntaje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Tabla 38 documenta el procedimiento que lista todas las calificaciones y el puntaje total, y devuelve cinco: precio, tiempo de entrega, plazo de pago, capacidad financiera y valor agregado. No existe CalifMarca; Marca solo viaja como MarcaOfertada, y en su tabla de pesos vale 20 %. ¿Dónde entra ese 20 % en el PuntajeTotal? Muéstrenmelo en pantalla o en el procedimiento. Si Marca no se califica hoy, díganlo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Qué actividades suman las 32 horas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Tabla 19, en las páginas 97 a 99, cronometra consolidar ofertas en 6 a 8 horas, comparar precios en 3 y la evaluación multicriterio en 2: once a trece horas. El párrafo que cierra esa observación declara 32 horas, y el Cuadro Comparativo de KPIs las cobra dos veces, en dos indicadores de 32. ¿Qué actividades cronometradas suman esas 32 horas? Dennos la lista. Si es una estimación de los funcionarios y no una medición, díganlo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Qué instrumento produjo el 35 % de línea base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«La página 76 declara un instrumento de madurez digital: cinco dimensiones, escala 1 a 5, evaluación antes y después. El gráfico del Índice de Madurez Digital dice que el 88 % se obtuvo después del UAT con los seis funcionarios. ¿Qué instrumento y en qué fecha produjeron la línea base del 35 %? Si es una valoración del equipo y no una medición aplicada, díganlo con esas palabras.»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¿a cuántos de los 10 sugeridos adjudicó la Dirección? </w:t>
      </w:r>
      <w:r>
        <w:rPr>
          <w:rFonts w:ascii="Calibri" w:hAnsi="Calibri"/>
          <w:b/>
          <w:color w:val="2B2B2B"/>
          <w:sz w:val="22"/>
        </w:rPr>
        <w:t>(p. 226)</w:t>
      </w:r>
      <w:r>
        <w:rPr>
          <w:rFonts w:ascii="Calibri" w:hAnsi="Calibri"/>
          <w:b w:val="0"/>
          <w:color w:val="2B2B2B"/>
          <w:sz w:val="22"/>
        </w:rPr>
        <w:t xml:space="preserve"> · el «Proveedor Sugerido» está definido dos veces: ¿cuál calcula hoy? </w:t>
      </w:r>
      <w:r>
        <w:rPr>
          <w:rFonts w:ascii="Calibri" w:hAnsi="Calibri"/>
          <w:b/>
          <w:color w:val="2B2B2B"/>
          <w:sz w:val="22"/>
        </w:rPr>
        <w:t>(pp. 142, 217)</w:t>
      </w:r>
      <w:r>
        <w:rPr>
          <w:rFonts w:ascii="Calibri" w:hAnsi="Calibri"/>
          <w:b w:val="0"/>
          <w:color w:val="2B2B2B"/>
          <w:sz w:val="22"/>
        </w:rPr>
        <w:t xml:space="preserve"> · ERP: ¿descarga manual de un archivo o integración? </w:t>
      </w:r>
      <w:r>
        <w:rPr>
          <w:rFonts w:ascii="Calibri" w:hAnsi="Calibri"/>
          <w:b/>
          <w:color w:val="2B2B2B"/>
          <w:sz w:val="22"/>
        </w:rPr>
        <w:t>(pp. 28, 97, 176)</w:t>
      </w:r>
      <w:r>
        <w:rPr>
          <w:rFonts w:ascii="Calibri" w:hAnsi="Calibri"/>
          <w:b w:val="0"/>
          <w:color w:val="2B2B2B"/>
          <w:sz w:val="22"/>
        </w:rPr>
        <w:t xml:space="preserve"> · acta de aceptación: quién firmó, con qué cargo y en qué fecha </w:t>
      </w:r>
      <w:r>
        <w:rPr>
          <w:rFonts w:ascii="Calibri" w:hAnsi="Calibri"/>
          <w:b/>
          <w:color w:val="2B2B2B"/>
          <w:sz w:val="22"/>
        </w:rPr>
        <w:t>(pp. 73, 231)</w:t>
      </w:r>
      <w:r>
        <w:rPr>
          <w:rFonts w:ascii="Calibri" w:hAnsi="Calibri"/>
          <w:b w:val="0"/>
          <w:color w:val="2B2B2B"/>
          <w:sz w:val="22"/>
        </w:rPr>
        <w:t xml:space="preserve"> · ¿qué prueba de seguridad se ejecutó? </w:t>
      </w:r>
      <w:r>
        <w:rPr>
          <w:rFonts w:ascii="Calibri" w:hAnsi="Calibri"/>
          <w:b/>
          <w:color w:val="2B2B2B"/>
          <w:sz w:val="22"/>
        </w:rPr>
        <w:t>(pp. 68, 228)</w:t>
      </w:r>
      <w:r>
        <w:rPr>
          <w:rFonts w:ascii="Calibri" w:hAnsi="Calibri"/>
          <w:b w:val="0"/>
          <w:color w:val="2B2B2B"/>
          <w:sz w:val="22"/>
        </w:rPr>
        <w:t xml:space="preserve"> — ⚠️ sin leer en voz alta las direcciones de la p. 192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Sin la concordancia ranking-adjudicación y sin el origen del 35 %, difícilmente pasa de 4,4.</w:t>
      </w:r>
    </w:p>
    <w:p>
      <w:r>
        <w:rPr>
          <w:rFonts w:ascii="Calibri" w:hAnsi="Calibri"/>
          <w:b/>
          <w:color w:val="2B2B2B"/>
          <w:sz w:val="22"/>
        </w:rPr>
        <w:t>Partida antes de oír (§8 de la ficha):</w:t>
      </w:r>
      <w:r>
        <w:rPr>
          <w:rFonts w:ascii="Calibri" w:hAnsi="Calibri"/>
          <w:b w:val="0"/>
          <w:color w:val="2B2B2B"/>
          <w:sz w:val="22"/>
        </w:rPr>
        <w:t xml:space="preserve"> 4,2 – 4,6. El producto no está en duda; la medición del impacto sí.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 · FORMULARIO OFICIAL DEL JURADO — 5 criterios, escala 1–5</w:t>
      </w:r>
    </w:p>
    <w:p>
      <w:r>
        <w:rPr>
          <w:rFonts w:ascii="Calibri" w:hAnsi="Calibri"/>
          <w:b w:val="0"/>
          <w:color w:val="2B2B2B"/>
          <w:sz w:val="22"/>
        </w:rPr>
        <w:t xml:space="preserve">Instrumento </w:t>
      </w:r>
      <w:r>
        <w:rPr>
          <w:rFonts w:ascii="Calibri" w:hAnsi="Calibri"/>
          <w:b/>
          <w:color w:val="2B2B2B"/>
          <w:sz w:val="22"/>
        </w:rPr>
        <w:t>distinto</w:t>
      </w:r>
      <w:r>
        <w:rPr>
          <w:rFonts w:ascii="Calibri" w:hAnsi="Calibri"/>
          <w:b w:val="0"/>
          <w:color w:val="2B2B2B"/>
          <w:sz w:val="22"/>
        </w:rPr>
        <w:t xml:space="preserve"> de los cuatro criterios de la §D: aquellos dan la </w:t>
      </w:r>
      <w:r>
        <w:rPr>
          <w:rFonts w:ascii="Calibri" w:hAnsi="Calibri"/>
          <w:b/>
          <w:color w:val="2B2B2B"/>
          <w:sz w:val="22"/>
        </w:rPr>
        <w:t>nota del acta</w:t>
      </w:r>
      <w:r>
        <w:rPr>
          <w:rFonts w:ascii="Calibri" w:hAnsi="Calibri"/>
          <w:b w:val="0"/>
          <w:color w:val="2B2B2B"/>
          <w:sz w:val="22"/>
        </w:rPr>
        <w:t xml:space="preserve">, estos cinco van al formulario de la Dirección y </w:t>
      </w:r>
      <w:r>
        <w:rPr>
          <w:rFonts w:ascii="Calibri" w:hAnsi="Calibri"/>
          <w:b/>
          <w:color w:val="2B2B2B"/>
          <w:sz w:val="22"/>
        </w:rPr>
        <w:t>no son notas</w:t>
      </w:r>
      <w:r>
        <w:rPr>
          <w:rFonts w:ascii="Calibri" w:hAnsi="Calibri"/>
          <w:b w:val="0"/>
          <w:color w:val="2B2B2B"/>
          <w:sz w:val="22"/>
        </w:rPr>
        <w:t xml:space="preserve">. Las cinco se responden con el documento, así que vienen </w:t>
      </w:r>
      <w:r>
        <w:rPr>
          <w:rFonts w:ascii="Calibri" w:hAnsi="Calibri"/>
          <w:b/>
          <w:color w:val="2B2B2B"/>
          <w:sz w:val="22"/>
        </w:rPr>
        <w:t>precargadas</w:t>
      </w:r>
      <w:r>
        <w:rPr>
          <w:rFonts w:ascii="Calibri" w:hAnsi="Calibri"/>
          <w:b w:val="0"/>
          <w:color w:val="2B2B2B"/>
          <w:sz w:val="22"/>
        </w:rPr>
        <w:t xml:space="preserve"> desde la §8.1 de la ficha, que trae la página que sostiene cada casilla. En sala solo se confirma; si la sustentación cambia una, se tacha y se rodea otra.</w:t>
      </w:r>
    </w:p>
    <w:p>
      <w:r>
        <w:rPr>
          <w:rFonts w:ascii="Calibri" w:hAnsi="Calibri"/>
          <w:b/>
          <w:color w:val="2B2B2B"/>
          <w:sz w:val="22"/>
        </w:rPr>
        <w:t>1. Problemática y objetivos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4</w:t>
      </w:r>
    </w:p>
    <w:p>
      <w:r>
        <w:rPr>
          <w:rFonts w:ascii="Calibri" w:hAnsi="Calibri"/>
          <w:b/>
          <w:color w:val="2B2B2B"/>
          <w:sz w:val="22"/>
        </w:rPr>
        <w:t>2. Marco teórico y referentes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3</w:t>
      </w:r>
    </w:p>
    <w:p>
      <w:r>
        <w:rPr>
          <w:rFonts w:ascii="Calibri" w:hAnsi="Calibri"/>
          <w:b/>
          <w:color w:val="2B2B2B"/>
          <w:sz w:val="22"/>
        </w:rPr>
        <w:t>3. Metodología, muestra y diseño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3</w:t>
      </w:r>
    </w:p>
    <w:p>
      <w:r>
        <w:rPr>
          <w:rFonts w:ascii="Calibri" w:hAnsi="Calibri"/>
          <w:b/>
          <w:color w:val="2B2B2B"/>
          <w:sz w:val="22"/>
        </w:rPr>
        <w:t>4. Resultados y conclusiones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4</w:t>
      </w:r>
    </w:p>
    <w:p>
      <w:r>
        <w:rPr>
          <w:rFonts w:ascii="Calibri" w:hAnsi="Calibri"/>
          <w:b/>
          <w:color w:val="2B2B2B"/>
          <w:sz w:val="22"/>
        </w:rPr>
        <w:t>5. Pertinencia disciplinar</w:t>
      </w:r>
      <w:r>
        <w:rPr>
          <w:rFonts w:ascii="Calibri" w:hAnsi="Calibri"/>
          <w:b w:val="0"/>
          <w:color w:val="2B2B2B"/>
          <w:sz w:val="22"/>
        </w:rPr>
        <w:t xml:space="preserve"> — rodear:   1   ·   2   ·   3   ·   4   ·   5   →   precargado </w:t>
      </w:r>
      <w:r>
        <w:rPr>
          <w:rFonts w:ascii="Calibri" w:hAnsi="Calibri"/>
          <w:b/>
          <w:color w:val="2B2B2B"/>
          <w:sz w:val="22"/>
        </w:rPr>
        <w:t>5</w:t>
      </w:r>
    </w:p>
    <w:p>
      <w:r>
        <w:rPr>
          <w:rFonts w:ascii="Calibri" w:hAnsi="Calibri"/>
          <w:b/>
          <w:color w:val="2B2B2B"/>
          <w:sz w:val="22"/>
        </w:rPr>
        <w:t>Suma:  ______ / 25</w:t>
      </w:r>
      <w:r>
        <w:rPr>
          <w:rFonts w:ascii="Calibri" w:hAnsi="Calibri"/>
          <w:b w:val="0"/>
          <w:color w:val="2B2B2B"/>
          <w:sz w:val="22"/>
        </w:rPr>
        <w:t xml:space="preserve">   ·   precargada: </w:t>
      </w:r>
      <w:r>
        <w:rPr>
          <w:rFonts w:ascii="Calibri" w:hAnsi="Calibri"/>
          <w:b/>
          <w:color w:val="2B2B2B"/>
          <w:sz w:val="22"/>
        </w:rPr>
        <w:t>19 / 25</w:t>
      </w:r>
    </w:p>
    <w:p>
      <w:r>
        <w:rPr>
          <w:rFonts w:ascii="Calibri" w:hAnsi="Calibri"/>
          <w:b/>
          <w:color w:val="2B2B2B"/>
          <w:sz w:val="22"/>
        </w:rPr>
        <w:t>Si cambio una casilla, la razón en una línea</w:t>
      </w:r>
      <w:r>
        <w:rPr>
          <w:rFonts w:ascii="Calibri" w:hAnsi="Calibri"/>
          <w:b w:val="0"/>
          <w:color w:val="2B2B2B"/>
          <w:sz w:val="22"/>
        </w:rPr>
        <w:t xml:space="preserve"> (la §8.1 trae el sustento del precargado):   ______________________________________________________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