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26ET2-G-007 — Diseño de un Modelo de Diagnóstico Estratégico Para Evaluar la Transformación Digital en las Pymes de Bogotá Orientado al Fortalecimiento de su Competitividad</w:t>
      </w:r>
    </w:p>
    <w:p>
      <w:r>
        <w:rPr>
          <w:rFonts w:ascii="Calibri" w:hAnsi="Calibri"/>
          <w:b/>
          <w:color w:val="2B2B2B"/>
          <w:sz w:val="22"/>
        </w:rPr>
        <w:t>Sustentación:</w:t>
      </w:r>
      <w:r>
        <w:rPr>
          <w:rFonts w:ascii="Calibri" w:hAnsi="Calibri"/>
          <w:b w:val="0"/>
          <w:color w:val="2B2B2B"/>
          <w:sz w:val="22"/>
        </w:rPr>
        <w:t xml:space="preserve"> martes 18 de agosto de 2026 · 8:00 p.m. – 8:20 p.m.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Sonia Patricia Salamanca Avella (sonia.salamanca@cun.edu.co), Jhon Castro Oviedo (jhon.castro@cun.edu.co) — en la portada figura como «Jhon Jairo Castro Oviedo» (p. 1)</w:t>
      </w:r>
    </w:p>
    <w:p>
      <w:r>
        <w:rPr>
          <w:rFonts w:ascii="Calibri" w:hAnsi="Calibri"/>
          <w:b/>
          <w:color w:val="2B2B2B"/>
          <w:sz w:val="22"/>
        </w:rPr>
        <w:t>Línea:</w:t>
      </w:r>
      <w:r>
        <w:rPr>
          <w:rFonts w:ascii="Calibri" w:hAnsi="Calibri"/>
          <w:b w:val="0"/>
          <w:color w:val="2B2B2B"/>
          <w:sz w:val="22"/>
        </w:rPr>
        <w:t xml:space="preserve"> Ingeniería y Tecnología (según el cronograma de la Dirección)</w:t>
      </w:r>
    </w:p>
    <w:p>
      <w:r>
        <w:rPr>
          <w:rFonts w:ascii="Calibri" w:hAnsi="Calibri"/>
          <w:b/>
          <w:color w:val="2B2B2B"/>
          <w:sz w:val="22"/>
        </w:rPr>
        <w:t>Dirección del proyecto:</w:t>
      </w:r>
      <w:r>
        <w:rPr>
          <w:rFonts w:ascii="Calibri" w:hAnsi="Calibri"/>
          <w:b w:val="0"/>
          <w:color w:val="2B2B2B"/>
          <w:sz w:val="22"/>
        </w:rPr>
        <w:t xml:space="preserve"> Ing. María Fernanda Rivera Sanclemente (p. 2), quien además modera la sesión</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Proyecto Grado II_Grupo 7.pdf</w:t>
      </w:r>
      <w:r>
        <w:rPr>
          <w:rFonts w:ascii="Calibri" w:hAnsi="Calibri"/>
          <w:b w:val="0"/>
          <w:color w:val="2B2B2B"/>
          <w:sz w:val="22"/>
        </w:rPr>
        <w:t xml:space="preserve"> (94 páginas) y </w:t>
      </w:r>
      <w:r>
        <w:rPr>
          <w:rFonts w:ascii="Consolas" w:hAnsi="Consolas"/>
          <w:color w:val="111111"/>
          <w:sz w:val="21"/>
        </w:rPr>
        <w:t>Tarea_1_Presentacion_Proyecto_2_Grupo_ 7_2.pdf</w:t>
      </w:r>
      <w:r>
        <w:rPr>
          <w:rFonts w:ascii="Calibri" w:hAnsi="Calibri"/>
          <w:b w:val="0"/>
          <w:color w:val="2B2B2B"/>
          <w:sz w:val="22"/>
        </w:rPr>
        <w:t xml:space="preserve"> (19 diapositivas). Hay una sola versión de cada uno en la carpeta del grupo; el título correcto es el de la portada del trabajo (p. 1), no el del cronograma.</w:t>
      </w:r>
    </w:p>
    <w:p>
      <w:pPr>
        <w:spacing w:before="200" w:after="60"/>
      </w:pPr>
      <w:r>
        <w:rPr>
          <w:rFonts w:ascii="Calibri" w:hAnsi="Calibri"/>
          <w:b/>
          <w:color w:val="007433"/>
          <w:sz w:val="32"/>
        </w:rPr>
        <w:t>1. Resumen para leer en 5 minutos</w:t>
      </w:r>
    </w:p>
    <w:p>
      <w:r>
        <w:rPr>
          <w:rFonts w:ascii="Calibri" w:hAnsi="Calibri"/>
          <w:b w:val="0"/>
          <w:color w:val="2B2B2B"/>
          <w:sz w:val="22"/>
        </w:rPr>
        <w:t>Problema: las pymes de Bogotá adoptan tecnología de forma «aislada y reactiva, sin una articulación coherente dentro de una visión estratégica integral», y no existen modelos diagnósticos accesibles y contextualizados para medir su madurez digital (p. 14). La pregunta de investigación es doble: cuál es el nivel de transformación digital de las pymes de Bogotá y cómo estructurar un modelo de diagnóstico que identifique brechas (p. 15).</w:t>
      </w:r>
    </w:p>
    <w:p>
      <w:r>
        <w:rPr>
          <w:rFonts w:ascii="Calibri" w:hAnsi="Calibri"/>
          <w:b w:val="0"/>
          <w:color w:val="2B2B2B"/>
          <w:sz w:val="22"/>
        </w:rPr>
        <w:t>Qué hicieron. Estudio declarado descriptivo-propositivo (p. 31), de investigación aplicada con enfoque cuantitativo y cualitativo (pp. 32-33), sobre 30 pymes de Bogotá tomadas del banco de elegibles de la convocatoria «MiPymes Innovadoras» de la SDDE/ATENEA/Universidad Distrital (p. 33). Las 30 empresas están nombradas con razón social y localidad (p. 44), en 10 localidades (p. 84). El instrumento es un formulario en Forms de 11 preguntas —localidad más 10 dimensiones: nube, automatización, datos, canales digitales, cultura digital, ciberseguridad, colaboración, innovación, capacitación y estrategia de TD— con escala ordinal tipo Likert (pp. 34-35); ojo al nombrarlas, porque la p. 34 llama «experiencia del cliente» a la dimensión que las tablas de resultados rotulan «canales digitales» (pp. 47, 82 y 88). La regla de calificación declarada es 0-3 puntos por pregunta, máximo 30, convertido a porcentaje, con cuatro niveles: Inicial, En Desarrollo, Avanzado y Líder Digital (pp. 36-37), y un informe de recomendaciones por nivel (p. 38). No se calculó Alfa de Cronbach ni otra medida de confiabilidad, y el documento lo dice (p. 38).</w:t>
      </w:r>
    </w:p>
    <w:p>
      <w:r>
        <w:rPr>
          <w:rFonts w:ascii="Calibri" w:hAnsi="Calibri"/>
          <w:b w:val="0"/>
          <w:color w:val="2B2B2B"/>
          <w:sz w:val="22"/>
        </w:rPr>
        <w:t>Qué obtuvieron. Respuestas individuales de las 30 empresas ítem por ítem (p. 46) y puntajes por dimensión con promedio y nivel por empresa (p. 47). Promedio de madurez 2,54 sobre 4 y nivel predominante «Avanzado» (p. 81); índice de madurez ponderado 71% (p. 78). Las dimensiones más rezagadas son canales digitales (2,07) y automatización (2,40) (Tabla 11, p. 82; los mismos diez promedios ya están en la Tabla 7, p. 77, así que conviene citar las dos). Segmentan las empresas en tres ecosistemas —Tech y nativos digitales ~40%, Servicios/Creativas/Salud ~33%, Manufactura/Comercio ~27%— con riesgos, prioridad de intervención y acción recomendada por segmento (pp. 50-52) e informe individual por empresa (pp. 85-87).</w:t>
      </w:r>
    </w:p>
    <w:p>
      <w:r>
        <w:rPr>
          <w:rFonts w:ascii="Calibri" w:hAnsi="Calibri"/>
          <w:b w:val="0"/>
          <w:color w:val="2B2B2B"/>
          <w:sz w:val="22"/>
        </w:rPr>
        <w:t>Qué producto entregan. Un prototipo de aplicación web con arquitectura React + Node/Express + MySQL (pp. 58, 74), módulos de cuestionario, cálculo, dashboard, reportes y seguridad (p. 59), modelo entidad-relación (p. 75), capturas de versión escritorio y móvil (pp. 69-73) y una matriz de pruebas funcionales (pp. 61-62). El propio documento califica el objetivo 3 como «cumplido parcialmente» por falta de evidencia visual y técnica completa (p. 89).</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(p. 1), objetivo general (p. 16) y pregunta de investigación (p. 15) dicen lo mismo: </w:t>
      </w:r>
      <w:r>
        <w:rPr>
          <w:rFonts w:ascii="Calibri" w:hAnsi="Calibri"/>
          <w:b/>
          <w:color w:val="2B2B2B"/>
          <w:sz w:val="22"/>
        </w:rPr>
        <w:t>diseñar</w:t>
      </w:r>
      <w:r>
        <w:rPr>
          <w:rFonts w:ascii="Calibri" w:hAnsi="Calibri"/>
          <w:b w:val="0"/>
          <w:color w:val="2B2B2B"/>
          <w:sz w:val="22"/>
        </w:rPr>
        <w:t xml:space="preserve"> un modelo de diagnóstico, soportado en una aplicación web. El verbo es «diseñar», no «implementar» ni «evaluar el impacto»: el techo del trabajo está bien puesto y el alcance lo respeta explícitamente («el proyecto se limita a diagnosticar... no incluye implementación ni seguimiento», p. 19).</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 16)</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 N)</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Identificar las dimensiones clave de madurez digital para pymes de Bogotá, basadas en modelos reconocidos</w:t>
            </w:r>
          </w:p>
        </w:tc>
        <w:tc>
          <w:tcPr>
            <w:tcW w:type="dxa" w:w="2448"/>
          </w:tcPr>
          <w:p>
            <w:r/>
            <w:r>
              <w:rPr>
                <w:rFonts w:ascii="Calibri" w:hAnsi="Calibri"/>
                <w:b w:val="0"/>
                <w:color w:val="2B2B2B"/>
                <w:sz w:val="20"/>
              </w:rPr>
              <w:t>Sí</w:t>
            </w:r>
          </w:p>
        </w:tc>
        <w:tc>
          <w:tcPr>
            <w:tcW w:type="dxa" w:w="2448"/>
          </w:tcPr>
          <w:p>
            <w:r/>
            <w:r>
              <w:rPr>
                <w:rFonts w:ascii="Calibri" w:hAnsi="Calibri"/>
                <w:b w:val="0"/>
                <w:color w:val="2B2B2B"/>
                <w:sz w:val="20"/>
              </w:rPr>
              <w:t>Instrumento de 10 dimensiones (pp. 34-35); alineación argumentada con el DMM de Gartner (p. 37); cierre del objetivo con «10 dimensiones evaluadas — Cumplido» (p. 88)</w:t>
            </w:r>
          </w:p>
        </w:tc>
        <w:tc>
          <w:tcPr>
            <w:tcW w:type="dxa" w:w="2448"/>
          </w:tcPr>
          <w:p>
            <w:r/>
            <w:r>
              <w:rPr>
                <w:rFonts w:ascii="Calibri" w:hAnsi="Calibri"/>
                <w:b w:val="0"/>
                <w:color w:val="2B2B2B"/>
                <w:sz w:val="20"/>
              </w:rPr>
              <w:t>Trazabilidad dimensión ↔ modelo de referencia: ellos mismos la registran como brecha, «documentar explícitamente la referencia metodológica usada para sustentar cada dimensión» (p. 88). Además el listado de dimensiones cambia entre el resumen (5: estrategia, procesos, tecnología, cultura, talento, p. 9), el alcance (6, con seguridad y datos/innovación, p. 19) y el instrumento (10, p. 34)</w:t>
            </w:r>
          </w:p>
        </w:tc>
      </w:tr>
      <w:tr>
        <w:tc>
          <w:tcPr>
            <w:tcW w:type="dxa" w:w="2448"/>
            <w:shd w:val="clear" w:fill="F5F7F5"/>
            <w:shd w:val="clear" w:fill="F5F7F5"/>
          </w:tcPr>
          <w:p>
            <w:r/>
            <w:r>
              <w:rPr>
                <w:rFonts w:ascii="Calibri" w:hAnsi="Calibri"/>
                <w:b w:val="0"/>
                <w:color w:val="2B2B2B"/>
                <w:sz w:val="20"/>
              </w:rPr>
              <w:t>2. Diseñar el modelo integrando dimensiones de TD con métricas de competitividad</w:t>
            </w:r>
          </w:p>
        </w:tc>
        <w:tc>
          <w:tcPr>
            <w:tcW w:type="dxa" w:w="2448"/>
            <w:shd w:val="clear" w:fill="F5F7F5"/>
            <w:shd w:val="clear" w:fill="F5F7F5"/>
          </w:tcPr>
          <w:p>
            <w:r/>
            <w:r>
              <w:rPr>
                <w:rFonts w:ascii="Calibri" w:hAnsi="Calibri"/>
                <w:b w:val="0"/>
                <w:color w:val="2B2B2B"/>
                <w:sz w:val="20"/>
              </w:rPr>
              <w:t xml:space="preserve">Sí en la parte de madurez; </w:t>
            </w:r>
            <w:r>
              <w:rPr>
                <w:rFonts w:ascii="Calibri" w:hAnsi="Calibri"/>
                <w:b/>
                <w:color w:val="2B2B2B"/>
                <w:sz w:val="20"/>
              </w:rPr>
              <w:t>no</w:t>
            </w:r>
            <w:r>
              <w:rPr>
                <w:rFonts w:ascii="Calibri" w:hAnsi="Calibri"/>
                <w:b w:val="0"/>
                <w:color w:val="2B2B2B"/>
                <w:sz w:val="20"/>
              </w:rPr>
              <w:t xml:space="preserve"> en la parte de competitividad</w:t>
            </w:r>
          </w:p>
        </w:tc>
        <w:tc>
          <w:tcPr>
            <w:tcW w:type="dxa" w:w="2448"/>
            <w:shd w:val="clear" w:fill="F5F7F5"/>
            <w:shd w:val="clear" w:fill="F5F7F5"/>
          </w:tcPr>
          <w:p>
            <w:r/>
            <w:r>
              <w:rPr>
                <w:rFonts w:ascii="Calibri" w:hAnsi="Calibri"/>
                <w:b w:val="0"/>
                <w:color w:val="2B2B2B"/>
                <w:sz w:val="20"/>
              </w:rPr>
              <w:t>Regla de puntaje y niveles (pp. 36-37); recomendaciones por nivel (p. 38); clasificación por ecosistemas y tabla de impacto/prioridad (pp. 50-52); tabla de cierre «Cumplido» (p. 88)</w:t>
            </w:r>
          </w:p>
        </w:tc>
        <w:tc>
          <w:tcPr>
            <w:tcW w:type="dxa" w:w="2448"/>
            <w:shd w:val="clear" w:fill="F5F7F5"/>
            <w:shd w:val="clear" w:fill="F5F7F5"/>
          </w:tcPr>
          <w:p>
            <w:r/>
            <w:r>
              <w:rPr>
                <w:rFonts w:ascii="Calibri" w:hAnsi="Calibri"/>
                <w:b w:val="0"/>
                <w:color w:val="2B2B2B"/>
                <w:sz w:val="20"/>
              </w:rPr>
              <w:t>Las «métricas de competitividad» no quedan definidas: el índice de competitividad digital se usa por empresa (p. 83) y en el mismo cierre del objetivo se recomienda «incluir un índice de competitividad digital basado en automatización, datos, innovación, canales digitales y nube» (p. 88), es decir, se propone a futuro lo que ya se reportó. Escala y número de niveles no unificados (0-3 y 4 niveles en pp. 36-37; 1-4 y niveles Inicial/Básico/Intermedio/Avanzado en p. 47; 3 segmentos en p. 76; 5 niveles de Gartner en p. 23) — conflicto que su propia matriz de pruebas registra (p. 61)</w:t>
            </w:r>
          </w:p>
        </w:tc>
      </w:tr>
      <w:tr>
        <w:tc>
          <w:tcPr>
            <w:tcW w:type="dxa" w:w="2448"/>
          </w:tcPr>
          <w:p>
            <w:r/>
            <w:r>
              <w:rPr>
                <w:rFonts w:ascii="Calibri" w:hAnsi="Calibri"/>
                <w:b w:val="0"/>
                <w:color w:val="2B2B2B"/>
                <w:sz w:val="20"/>
              </w:rPr>
              <w:t>3. Desarrollar la aplicación web prototipo (registro, autoevaluación en tiempo real, reportes personalizados)</w:t>
            </w:r>
          </w:p>
        </w:tc>
        <w:tc>
          <w:tcPr>
            <w:tcW w:type="dxa" w:w="2448"/>
          </w:tcPr>
          <w:p>
            <w:r/>
            <w:r>
              <w:rPr>
                <w:rFonts w:ascii="Calibri" w:hAnsi="Calibri"/>
                <w:b w:val="0"/>
                <w:color w:val="2B2B2B"/>
                <w:sz w:val="20"/>
              </w:rPr>
              <w:t xml:space="preserve">Parcialmente, </w:t>
            </w:r>
            <w:r>
              <w:rPr>
                <w:rFonts w:ascii="Calibri" w:hAnsi="Calibri"/>
                <w:b/>
                <w:color w:val="2B2B2B"/>
                <w:sz w:val="20"/>
              </w:rPr>
              <w:t>y así lo declaran</w:t>
            </w:r>
          </w:p>
        </w:tc>
        <w:tc>
          <w:tcPr>
            <w:tcW w:type="dxa" w:w="2448"/>
          </w:tcPr>
          <w:p>
            <w:r/>
            <w:r>
              <w:rPr>
                <w:rFonts w:ascii="Calibri" w:hAnsi="Calibri"/>
                <w:b w:val="0"/>
                <w:color w:val="2B2B2B"/>
                <w:sz w:val="20"/>
              </w:rPr>
              <w:t>Arquitectura (p. 58), módulos (p. 59), esquema y modelo ER de base de datos (pp. 60, 63-64, 75), capturas del prototipo (pp. 54-57 y 69-73), matriz de casos de prueba (pp. 61-62)</w:t>
            </w:r>
          </w:p>
        </w:tc>
        <w:tc>
          <w:tcPr>
            <w:tcW w:type="dxa" w:w="2448"/>
          </w:tcPr>
          <w:p>
            <w:r/>
            <w:r>
              <w:rPr>
                <w:rFonts w:ascii="Calibri" w:hAnsi="Calibri"/>
                <w:b w:val="0"/>
                <w:color w:val="2B2B2B"/>
                <w:sz w:val="20"/>
              </w:rPr>
              <w:t xml:space="preserve">«Cumplido parcialmente… falta evidencia visual/técnica completa de la aplicación web» (p. 89); «la lógica existe en formulario, tablas y dashboard, pero falta documentación técnica» (p. 81). Las columnas «Resultado real / Evidencia / Estado» de la matriz se describen como </w:t>
            </w:r>
            <w:r>
              <w:rPr>
                <w:rFonts w:ascii="Calibri" w:hAnsi="Calibri"/>
                <w:i/>
                <w:color w:val="2B2B2B"/>
                <w:sz w:val="20"/>
              </w:rPr>
              <w:t>uso recomendado</w:t>
            </w:r>
            <w:r>
              <w:rPr>
                <w:rFonts w:ascii="Calibri" w:hAnsi="Calibri"/>
                <w:b w:val="0"/>
                <w:color w:val="2B2B2B"/>
                <w:sz w:val="20"/>
              </w:rPr>
              <w:t xml:space="preserve"> y el estado admite «No ejecutado» (p. 62): no hay reporte de ejecución de pruebas. El documento no declara URL de despliegue ni repositorio de código (buscado en las 94 páginas con </w:t>
            </w:r>
            <w:r>
              <w:rPr>
                <w:rFonts w:ascii="Consolas" w:hAnsi="Consolas"/>
                <w:color w:val="111111"/>
                <w:sz w:val="19"/>
              </w:rPr>
              <w:t>--buscar "repositorio,GitHub,URL"</w:t>
            </w:r>
            <w:r>
              <w:rPr>
                <w:rFonts w:ascii="Calibri" w:hAnsi="Calibri"/>
                <w:b w:val="0"/>
                <w:color w:val="2B2B2B"/>
                <w:sz w:val="20"/>
              </w:rPr>
              <w:t>)</w:t>
            </w:r>
          </w:p>
        </w:tc>
      </w:tr>
      <w:tr>
        <w:tc>
          <w:tcPr>
            <w:tcW w:type="dxa" w:w="2448"/>
            <w:shd w:val="clear" w:fill="F5F7F5"/>
            <w:shd w:val="clear" w:fill="F5F7F5"/>
          </w:tcPr>
          <w:p>
            <w:r/>
            <w:r>
              <w:rPr>
                <w:rFonts w:ascii="Calibri" w:hAnsi="Calibri"/>
                <w:b w:val="0"/>
                <w:color w:val="2B2B2B"/>
                <w:sz w:val="20"/>
              </w:rPr>
              <w:t>4. Analizar la relación entre madurez digital y competitividad con herramientas estadísticas y formular recomendaciones</w:t>
            </w:r>
          </w:p>
        </w:tc>
        <w:tc>
          <w:tcPr>
            <w:tcW w:type="dxa" w:w="2448"/>
            <w:shd w:val="clear" w:fill="F5F7F5"/>
            <w:shd w:val="clear" w:fill="F5F7F5"/>
          </w:tcPr>
          <w:p>
            <w:r/>
            <w:r>
              <w:rPr>
                <w:rFonts w:ascii="Calibri" w:hAnsi="Calibri"/>
                <w:b/>
                <w:color w:val="2B2B2B"/>
                <w:sz w:val="20"/>
              </w:rPr>
              <w:t>No verificable con lo entregado</w:t>
            </w:r>
            <w:r>
              <w:rPr>
                <w:rFonts w:ascii="Calibri" w:hAnsi="Calibri"/>
                <w:b w:val="0"/>
                <w:color w:val="2B2B2B"/>
                <w:sz w:val="20"/>
              </w:rPr>
              <w:t>; las recomendaciones sí están</w:t>
            </w:r>
          </w:p>
        </w:tc>
        <w:tc>
          <w:tcPr>
            <w:tcW w:type="dxa" w:w="2448"/>
            <w:shd w:val="clear" w:fill="F5F7F5"/>
            <w:shd w:val="clear" w:fill="F5F7F5"/>
          </w:tcPr>
          <w:p>
            <w:r/>
            <w:r>
              <w:rPr>
                <w:rFonts w:ascii="Calibri" w:hAnsi="Calibri"/>
                <w:b w:val="0"/>
                <w:color w:val="2B2B2B"/>
                <w:sz w:val="20"/>
              </w:rPr>
              <w:t>Tabla de 30 empresas con nivel, puntaje TD e índice de competitividad (p. 83); tabla de brechas por dimensión (p. 82); recomendaciones priorizadas por dimensión y por frente estratégico (pp. 77, 81); cierre «Cumplido con oportunidad de profundización» (p. 89)</w:t>
            </w:r>
          </w:p>
        </w:tc>
        <w:tc>
          <w:tcPr>
            <w:tcW w:type="dxa" w:w="2448"/>
            <w:shd w:val="clear" w:fill="F5F7F5"/>
            <w:shd w:val="clear" w:fill="F5F7F5"/>
          </w:tcPr>
          <w:p>
            <w:r/>
            <w:r>
              <w:rPr>
                <w:rFonts w:ascii="Calibri" w:hAnsi="Calibri"/>
                <w:b w:val="0"/>
                <w:color w:val="2B2B2B"/>
                <w:sz w:val="20"/>
              </w:rPr>
              <w:t xml:space="preserve">El coeficiente no aparece: «La correlación Pearson de </w:t>
            </w:r>
            <w:r>
              <w:rPr>
                <w:rFonts w:ascii="Calibri" w:hAnsi="Calibri"/>
                <w:b/>
                <w:color w:val="2B2B2B"/>
                <w:sz w:val="20"/>
              </w:rPr>
              <w:t>001</w:t>
            </w:r>
            <w:r>
              <w:rPr>
                <w:rFonts w:ascii="Calibri" w:hAnsi="Calibri"/>
                <w:b w:val="0"/>
                <w:color w:val="2B2B2B"/>
                <w:sz w:val="20"/>
              </w:rPr>
              <w:t xml:space="preserve"> evidencia una relación positiva alta» (p. 84), «La correlación con el promedio de madurez digital es </w:t>
            </w:r>
            <w:r>
              <w:rPr>
                <w:rFonts w:ascii="Calibri" w:hAnsi="Calibri"/>
                <w:b/>
                <w:color w:val="2B2B2B"/>
                <w:sz w:val="20"/>
              </w:rPr>
              <w:t>001</w:t>
            </w:r>
            <w:r>
              <w:rPr>
                <w:rFonts w:ascii="Calibri" w:hAnsi="Calibri"/>
                <w:b w:val="0"/>
                <w:color w:val="2B2B2B"/>
                <w:sz w:val="20"/>
              </w:rPr>
              <w:t xml:space="preserve">» (p. 53), «Correlación TD vs índice competitividad digital: </w:t>
            </w:r>
            <w:r>
              <w:rPr>
                <w:rFonts w:ascii="Calibri" w:hAnsi="Calibri"/>
                <w:b/>
                <w:color w:val="2B2B2B"/>
                <w:sz w:val="20"/>
              </w:rPr>
              <w:t>001</w:t>
            </w:r>
            <w:r>
              <w:rPr>
                <w:rFonts w:ascii="Calibri" w:hAnsi="Calibri"/>
                <w:b w:val="0"/>
                <w:color w:val="2B2B2B"/>
                <w:sz w:val="20"/>
              </w:rPr>
              <w:t>» (p. 89) y lo mismo en la diapositiva 16. Los promedios se reportan como «</w:t>
            </w:r>
            <w:r>
              <w:rPr>
                <w:rFonts w:ascii="Calibri" w:hAnsi="Calibri"/>
                <w:b/>
                <w:color w:val="2B2B2B"/>
                <w:sz w:val="20"/>
              </w:rPr>
              <w:t>003</w:t>
            </w:r>
            <w:r>
              <w:rPr>
                <w:rFonts w:ascii="Calibri" w:hAnsi="Calibri"/>
                <w:b w:val="0"/>
                <w:color w:val="2B2B2B"/>
                <w:sz w:val="20"/>
              </w:rPr>
              <w:t xml:space="preserve"> / 4» (pp. 53, 84) y las brechas como «</w:t>
            </w:r>
            <w:r>
              <w:rPr>
                <w:rFonts w:ascii="Calibri" w:hAnsi="Calibri"/>
                <w:b/>
                <w:color w:val="2B2B2B"/>
                <w:sz w:val="20"/>
              </w:rPr>
              <w:t>002</w:t>
            </w:r>
            <w:r>
              <w:rPr>
                <w:rFonts w:ascii="Calibri" w:hAnsi="Calibri"/>
                <w:b w:val="0"/>
                <w:color w:val="2B2B2B"/>
                <w:sz w:val="20"/>
              </w:rPr>
              <w:t>» (p. 80): son referencias rotas de hoja de cálculo. La sección titulada «d) Correlación de Spearman o Pearson» (p. 83) no contiene ningún estadístico, solo el listado de empresas</w:t>
            </w:r>
          </w:p>
        </w:tc>
      </w:tr>
    </w:tbl>
    <w:p/>
    <w:p>
      <w:r>
        <w:rPr>
          <w:rFonts w:ascii="Calibri" w:hAnsi="Calibri"/>
          <w:b/>
          <w:color w:val="2B2B2B"/>
          <w:sz w:val="22"/>
        </w:rPr>
        <w:t>El nudo de coherencia.</w:t>
      </w:r>
      <w:r>
        <w:rPr>
          <w:rFonts w:ascii="Calibri" w:hAnsi="Calibri"/>
          <w:b w:val="0"/>
          <w:color w:val="2B2B2B"/>
          <w:sz w:val="22"/>
        </w:rPr>
        <w:t xml:space="preserve"> En la p. 78 la «competitividad esperada» se </w:t>
      </w:r>
      <w:r>
        <w:rPr>
          <w:rFonts w:ascii="Calibri" w:hAnsi="Calibri"/>
          <w:b/>
          <w:color w:val="2B2B2B"/>
          <w:sz w:val="22"/>
        </w:rPr>
        <w:t>asigna</w:t>
      </w:r>
      <w:r>
        <w:rPr>
          <w:rFonts w:ascii="Calibri" w:hAnsi="Calibri"/>
          <w:b w:val="0"/>
          <w:color w:val="2B2B2B"/>
          <w:sz w:val="22"/>
        </w:rPr>
        <w:t xml:space="preserve"> a partir del nivel de madurez (Avanzado → Alta, Intermedio → Media-alta, Inicial-Intermedio → Media), y en la p. 85 se declara que «el riesgo, ecosistema y prioridad se asignan según el nivel de madurez digital de cada empresa». Con eso, la conclusión «una mayor madurez digital se asocia con mayor competitividad esperada» (p. 79, y diapositiva 15) se deduce de la asignación y no de los datos. El documento reconoce a medias el problema: «la relación es estadística, pero debe complementarse con indicadores reales de productividad, ventas o clientes» (p. 84).</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Datos primarios reales y expuestos.</w:t>
      </w:r>
      <w:r>
        <w:rPr>
          <w:rFonts w:ascii="Calibri" w:hAnsi="Calibri"/>
          <w:b w:val="0"/>
          <w:color w:val="2B2B2B"/>
          <w:sz w:val="22"/>
        </w:rPr>
        <w:t xml:space="preserve"> 30 empresas con razón social y localidad (p. 44), respuestas individuales ítem por ítem (p. 46) y puntajes por dimensión (p. 47). No es un trabajo de escritorio: hay trabajo de campo y se puede auditar.</w:t>
      </w:r>
    </w:p>
    <w:p>
      <w:pPr>
        <w:pStyle w:val="ListNumber"/>
      </w:pPr>
      <w:r>
        <w:rPr>
          <w:rFonts w:ascii="Calibri" w:hAnsi="Calibri"/>
          <w:b/>
          <w:color w:val="2B2B2B"/>
          <w:sz w:val="22"/>
        </w:rPr>
        <w:t>Los cuatro objetivos están rotulados en el cuerpo del trabajo</w:t>
      </w:r>
      <w:r>
        <w:rPr>
          <w:rFonts w:ascii="Calibri" w:hAnsi="Calibri"/>
          <w:b w:val="0"/>
          <w:color w:val="2B2B2B"/>
          <w:sz w:val="22"/>
        </w:rPr>
        <w:t xml:space="preserve"> (pp. 44, 49, 53, 73) y cerrados en una tabla de resultados objetivo por objetivo (pp. 88-89). Es una estructura que facilita la lectura del jurado y es poco frecuente.</w:t>
      </w:r>
    </w:p>
    <w:p>
      <w:pPr>
        <w:pStyle w:val="ListNumber"/>
      </w:pPr>
      <w:r>
        <w:rPr>
          <w:rFonts w:ascii="Calibri" w:hAnsi="Calibri"/>
          <w:b/>
          <w:color w:val="2B2B2B"/>
          <w:sz w:val="22"/>
        </w:rPr>
        <w:t>Honestidad sobre los límites, y con detalle.</w:t>
      </w:r>
      <w:r>
        <w:rPr>
          <w:rFonts w:ascii="Calibri" w:hAnsi="Calibri"/>
          <w:b w:val="0"/>
          <w:color w:val="2B2B2B"/>
          <w:sz w:val="22"/>
        </w:rPr>
        <w:t xml:space="preserve"> Muestra piloto no generalizable, sesgo de selección por voluntariedad, autodeclaración con deseabilidad social, estadística básica sin modelamiento predictivo, restricción geográfica y temporal (pp. 20-21); el prototipo «no constituye una solución escalable ni contempla soporte técnico posterior» (p. 21).</w:t>
      </w:r>
    </w:p>
    <w:p>
      <w:pPr>
        <w:pStyle w:val="ListNumber"/>
      </w:pPr>
      <w:r>
        <w:rPr>
          <w:rFonts w:ascii="Calibri" w:hAnsi="Calibri"/>
          <w:b/>
          <w:color w:val="2B2B2B"/>
          <w:sz w:val="22"/>
        </w:rPr>
        <w:t>Autocrítica técnica documentada.</w:t>
      </w:r>
      <w:r>
        <w:rPr>
          <w:rFonts w:ascii="Calibri" w:hAnsi="Calibri"/>
          <w:b w:val="0"/>
          <w:color w:val="2B2B2B"/>
          <w:sz w:val="22"/>
        </w:rPr>
        <w:t xml:space="preserve"> La matriz de pruebas registra sus propias ambigüedades: escala 0-3 frente a tablas 1-4, cuatro niveles globales frente a una segmentación de tres, y «la evidencia de funcionamiento del prototipo es parcial» (p. 61). Detectar eso es criterio de ingeniería.</w:t>
      </w:r>
    </w:p>
    <w:p>
      <w:pPr>
        <w:pStyle w:val="ListNumber"/>
      </w:pPr>
      <w:r>
        <w:rPr>
          <w:rFonts w:ascii="Calibri" w:hAnsi="Calibri"/>
          <w:b/>
          <w:color w:val="2B2B2B"/>
          <w:sz w:val="22"/>
        </w:rPr>
        <w:t>Autoevaluación no complaciente:</w:t>
      </w:r>
      <w:r>
        <w:rPr>
          <w:rFonts w:ascii="Calibri" w:hAnsi="Calibri"/>
          <w:b w:val="0"/>
          <w:color w:val="2B2B2B"/>
          <w:sz w:val="22"/>
        </w:rPr>
        <w:t xml:space="preserve"> califican el objetivo 3 como «cumplido parcialmente» y el 4 «con oportunidad de profundización» (p. 89), en vez de declarar todo cumplido.</w:t>
      </w:r>
    </w:p>
    <w:p>
      <w:pPr>
        <w:pStyle w:val="ListNumber"/>
      </w:pPr>
      <w:r>
        <w:rPr>
          <w:rFonts w:ascii="Calibri" w:hAnsi="Calibri"/>
          <w:b/>
          <w:color w:val="2B2B2B"/>
          <w:sz w:val="22"/>
        </w:rPr>
        <w:t>Producto con arquitectura definida, no una idea.</w:t>
      </w:r>
      <w:r>
        <w:rPr>
          <w:rFonts w:ascii="Calibri" w:hAnsi="Calibri"/>
          <w:b w:val="0"/>
          <w:color w:val="2B2B2B"/>
          <w:sz w:val="22"/>
        </w:rPr>
        <w:t xml:space="preserve"> Frontend React/Vite, backend Node/Express, MySQL, servicios transversales de seguridad y monitoreo (pp. 58, 74), entidades del modelo ER enumeradas (p. 75) y capturas de las versiones escritorio y móvil (pp. 69-73).</w:t>
      </w:r>
    </w:p>
    <w:p>
      <w:pPr>
        <w:pStyle w:val="ListNumber"/>
      </w:pPr>
      <w:r>
        <w:rPr>
          <w:rFonts w:ascii="Calibri" w:hAnsi="Calibri"/>
          <w:b/>
          <w:color w:val="2B2B2B"/>
          <w:sz w:val="22"/>
        </w:rPr>
        <w:t>Anclaje normativo colombiano correcto y pertinente:</w:t>
      </w:r>
      <w:r>
        <w:rPr>
          <w:rFonts w:ascii="Calibri" w:hAnsi="Calibri"/>
          <w:b w:val="0"/>
          <w:color w:val="2B2B2B"/>
          <w:sz w:val="22"/>
        </w:rPr>
        <w:t xml:space="preserve"> CONPES 3975 (p. 13), Estrategia Nacional de Transformación Digital 2030 (pp. 15, 21 y 33), PND 2022-2026 (p. 23) y NTC 5854 de ICONTEC (pp. 22-23), las cuatro con entrada en la lista final (pp. 93-94). Cuidado al citarlas en sala: en las pp. 21-23 solo están la ENTD, el PND y la NTC; el CONPES 3975 está en la p. 13 y en la lista de referencias (p. 93). Aparte, la p. 94 describe la NTC 5854 como «Guía para la transformación digital en PYMES», que no es lo que regula esa norma.</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El resultado central del objetivo 4 no tiene número.</w:t>
      </w:r>
      <w:r>
        <w:rPr>
          <w:rFonts w:ascii="Calibri" w:hAnsi="Calibri"/>
          <w:b w:val="0"/>
          <w:color w:val="2B2B2B"/>
          <w:sz w:val="22"/>
        </w:rPr>
        <w:t xml:space="preserve"> «La correlación Pearson de 001» (p. 84); también en pp. 53 y 89 y en la </w:t>
      </w:r>
      <w:r>
        <w:rPr>
          <w:rFonts w:ascii="Calibri" w:hAnsi="Calibri"/>
          <w:b/>
          <w:color w:val="2B2B2B"/>
          <w:sz w:val="22"/>
        </w:rPr>
        <w:t>diapositiva 16</w:t>
      </w:r>
      <w:r>
        <w:rPr>
          <w:rFonts w:ascii="Calibri" w:hAnsi="Calibri"/>
          <w:b w:val="0"/>
          <w:color w:val="2B2B2B"/>
          <w:sz w:val="22"/>
        </w:rPr>
        <w:t>, que es la que se va a proyectar. Igual ocurre con «003 / 4» para los promedios (pp. 53, 84) y «002» para las brechas (p. 80); en la p. 53 las referencias rotas están además dentro de la tabla, no solo en la nota, y aparece una cuarta, «(004)». Con sus propias dos columnas de la p. 83 el coeficiente real es 0,98 (Pearson 0,983; Spearman 0,973). Las tres se proyectan juntas en la misma diapositiva 16, que es la que interpreta los resultados generales (§5, punto 2).</w:t>
      </w:r>
    </w:p>
    <w:p>
      <w:pPr>
        <w:pStyle w:val="ListNumber"/>
      </w:pPr>
      <w:r>
        <w:rPr>
          <w:rFonts w:ascii="Calibri" w:hAnsi="Calibri"/>
          <w:b/>
          <w:color w:val="2B2B2B"/>
          <w:sz w:val="22"/>
        </w:rPr>
        <w:t>Dos clasificaciones incompatibles de las mismas 30 empresas.</w:t>
      </w:r>
      <w:r>
        <w:rPr>
          <w:rFonts w:ascii="Calibri" w:hAnsi="Calibri"/>
          <w:b w:val="0"/>
          <w:color w:val="2B2B2B"/>
          <w:sz w:val="22"/>
        </w:rPr>
        <w:t xml:space="preserve"> 12 avanzado / 10 intermedio / 8 inicial-intermedio (pp. 46, 48, 52, 76, 78, 79, 85 y diapositivas 14-15) frente a 13 avanzado / 1 intermedio / 6 básico / 10 inicial (p. 80), que es lo que arroja la tabla de puntajes de la p. 47. Peor: la tabla de «validación de funcionamiento» de la p. 79 certifica «OK» la distribución 12/10/8 en la página inmediatamente anterior a la que la contradice. Y hay un tercer recuento: la Tabla 15 de la p. 88 cierra el objetivo 2 con «empresas avanzadas 13». La única empresa que explica el 13 contra el 12 es </w:t>
      </w:r>
      <w:r>
        <w:rPr>
          <w:rFonts w:ascii="Calibri" w:hAnsi="Calibri"/>
          <w:b/>
          <w:color w:val="2B2B2B"/>
          <w:sz w:val="22"/>
        </w:rPr>
        <w:t>Lyrical Records S.A.S.</w:t>
      </w:r>
      <w:r>
        <w:rPr>
          <w:rFonts w:ascii="Calibri" w:hAnsi="Calibri"/>
          <w:b w:val="0"/>
          <w:color w:val="2B2B2B"/>
          <w:sz w:val="22"/>
        </w:rPr>
        <w:t xml:space="preserve">: Avanzado con 3,80 en las pp. 47 y 83, Intermedio en la Tabla 14 (su fila, p. 86). En pantalla la contradicción también está, y en el mismo mazo: las diapositivas 14 y 15 certifican 12/10/8 y la 16 habla de empresas en niveles «Inicial y </w:t>
      </w:r>
      <w:r>
        <w:rPr>
          <w:rFonts w:ascii="Calibri" w:hAnsi="Calibri"/>
          <w:b/>
          <w:color w:val="2B2B2B"/>
          <w:sz w:val="22"/>
        </w:rPr>
        <w:t>Básico</w:t>
      </w:r>
      <w:r>
        <w:rPr>
          <w:rFonts w:ascii="Calibri" w:hAnsi="Calibri"/>
          <w:b w:val="0"/>
          <w:color w:val="2B2B2B"/>
          <w:sz w:val="22"/>
        </w:rPr>
        <w:t>», que es el vocabulario de la tabla de la p. 80 (§5, punto 3).</w:t>
      </w:r>
    </w:p>
    <w:p>
      <w:pPr>
        <w:pStyle w:val="ListNumber"/>
      </w:pPr>
      <w:r>
        <w:rPr>
          <w:rFonts w:ascii="Calibri" w:hAnsi="Calibri"/>
          <w:b/>
          <w:color w:val="2B2B2B"/>
          <w:sz w:val="22"/>
        </w:rPr>
        <w:t>El índice de competitividad digital no está definido.</w:t>
      </w:r>
      <w:r>
        <w:rPr>
          <w:rFonts w:ascii="Calibri" w:hAnsi="Calibri"/>
          <w:b w:val="0"/>
          <w:color w:val="2B2B2B"/>
          <w:sz w:val="22"/>
        </w:rPr>
        <w:t xml:space="preserve"> Se reporta por empresa con dos decimales (p. 83) sin fórmula, sin ítems y sin fuente; el instrumento (p. 34) no pregunta nada de competitividad; la única aproximación conceptual es «la competitividad se evalúa por eficiencia operativa, innovación y posicionamiento de mercado» (p. 25), que nunca se operacionaliza. En el mazo el índice no aparece nunca con cifra: la diapositiva 16 lo deja en «Índice promedio similar al promedio TD» con una referencia rota al lado (§5, puntos 2 y 5).</w:t>
      </w:r>
    </w:p>
    <w:p>
      <w:pPr>
        <w:pStyle w:val="ListNumber"/>
      </w:pPr>
      <w:r>
        <w:rPr>
          <w:rFonts w:ascii="Calibri" w:hAnsi="Calibri"/>
          <w:b/>
          <w:color w:val="2B2B2B"/>
          <w:sz w:val="22"/>
        </w:rPr>
        <w:t>Circularidad en el hallazgo principal</w:t>
      </w:r>
      <w:r>
        <w:rPr>
          <w:rFonts w:ascii="Calibri" w:hAnsi="Calibri"/>
          <w:b w:val="0"/>
          <w:color w:val="2B2B2B"/>
          <w:sz w:val="22"/>
        </w:rPr>
        <w:t xml:space="preserve">, ya explicada: competitividad esperada, riesgo, ecosistema y prioridad se asignan desde el nivel de madurez (pp. 78, 85) y luego se concluye que madurez y competitividad se asocian (pp. 79, 90). La diapositiva 15 proyecta la asignación y la conclusión </w:t>
      </w:r>
      <w:r>
        <w:rPr>
          <w:rFonts w:ascii="Calibri" w:hAnsi="Calibri"/>
          <w:b/>
          <w:color w:val="2B2B2B"/>
          <w:sz w:val="22"/>
        </w:rPr>
        <w:t>en la misma pantalla</w:t>
      </w:r>
      <w:r>
        <w:rPr>
          <w:rFonts w:ascii="Calibri" w:hAnsi="Calibri"/>
          <w:b w:val="0"/>
          <w:color w:val="2B2B2B"/>
          <w:sz w:val="22"/>
        </w:rPr>
        <w:t>, con gráfico de barras incluido: es la mejor evidencia del reparo y no hace falta buscarla en el documento (§5, punto 4).</w:t>
      </w:r>
    </w:p>
    <w:p>
      <w:pPr>
        <w:pStyle w:val="ListNumber"/>
      </w:pPr>
      <w:r>
        <w:rPr>
          <w:rFonts w:ascii="Calibri" w:hAnsi="Calibri"/>
          <w:b/>
          <w:color w:val="2B2B2B"/>
          <w:sz w:val="22"/>
        </w:rPr>
        <w:t>Escala y niveles sin unificar</w:t>
      </w:r>
      <w:r>
        <w:rPr>
          <w:rFonts w:ascii="Calibri" w:hAnsi="Calibri"/>
          <w:b w:val="0"/>
          <w:color w:val="2B2B2B"/>
          <w:sz w:val="22"/>
        </w:rPr>
        <w:t xml:space="preserve"> (pp. 23, 36, 37, 47, 76). Es la ambigüedad que su propia matriz manda resolver «antes de ejecutar casos de cálculo» (p. 61) y que no se resolvió. En pantalla se agrava: el mazo proyecta tres vocabularios de niveles y </w:t>
      </w:r>
      <w:r>
        <w:rPr>
          <w:rFonts w:ascii="Calibri" w:hAnsi="Calibri"/>
          <w:b/>
          <w:color w:val="2B2B2B"/>
          <w:sz w:val="22"/>
        </w:rPr>
        <w:t>ninguno es el del instrumento</w:t>
      </w:r>
      <w:r>
        <w:rPr>
          <w:rFonts w:ascii="Calibri" w:hAnsi="Calibri"/>
          <w:b w:val="0"/>
          <w:color w:val="2B2B2B"/>
          <w:sz w:val="22"/>
        </w:rPr>
        <w:t xml:space="preserve"> —«En Desarrollo» y «Líder Digital» dan cero coincidencias en las 19 diapositivas— (§5, punto 7).</w:t>
      </w:r>
    </w:p>
    <w:p>
      <w:pPr>
        <w:pStyle w:val="ListNumber"/>
      </w:pPr>
      <w:r>
        <w:rPr>
          <w:rFonts w:ascii="Calibri" w:hAnsi="Calibri"/>
          <w:b/>
          <w:color w:val="2B2B2B"/>
          <w:sz w:val="22"/>
        </w:rPr>
        <w:t>La «validación del instrumento» prometida en el alcance</w:t>
      </w:r>
      <w:r>
        <w:rPr>
          <w:rFonts w:ascii="Calibri" w:hAnsi="Calibri"/>
          <w:b w:val="0"/>
          <w:color w:val="2B2B2B"/>
          <w:sz w:val="22"/>
        </w:rPr>
        <w:t xml:space="preserve"> —«el proyecto incluye la construcción (diseño) y validación de un instrumento de medición» (p. 19)— se resuelve como correspondencia conceptual con el DMM de Gartner (p. 37). No hay panel de expertos ni confiabilidad, y el documento lo admite (p. 38). Para una especialización profesionalizante eso es aceptable; lo que no cuadra es prometer «validación» en el alcance. Y la promesa se proyecta: la diapositiva 6 imprime «Generar la construcción (diseño) y validación de un instrumento de medición» (§5, punto 8).</w:t>
      </w:r>
    </w:p>
    <w:p>
      <w:pPr>
        <w:pStyle w:val="ListNumber"/>
      </w:pPr>
      <w:r>
        <w:rPr>
          <w:rFonts w:ascii="Calibri" w:hAnsi="Calibri"/>
          <w:b/>
          <w:color w:val="2B2B2B"/>
          <w:sz w:val="22"/>
        </w:rPr>
        <w:t>Enfoque mixto declarado sin componente cualitativo ejecutado.</w:t>
      </w:r>
      <w:r>
        <w:rPr>
          <w:rFonts w:ascii="Calibri" w:hAnsi="Calibri"/>
          <w:b w:val="0"/>
          <w:color w:val="2B2B2B"/>
          <w:sz w:val="22"/>
        </w:rPr>
        <w:t xml:space="preserve"> Se declara cuantitativo y cualitativo (pp. 32-33) y la p. 77 habla de «información cuantitativa como cualitativa», pero las entrevistas semiestructuradas quedan en condicional: «en caso de que se requiera información adicional se aplicarán…» (p. 76). La palabra «entrevista» aparece en solo dos páginas de las 94 —la p. 30, donde la Tabla 1 promete «Datos de 20 PYMES + 10 entrevistas», y la p. 76—: ninguna entrevista queda reportada. Esa misma Tabla 1 declara 20 pymes piloto frente a las 30 del campo (pp. 20, 33, 44) y lista cuatro fases donde la p. 31 dice tres. El mazo proyecta el condicional tal cual —paso 7 del diagrama de la diapositiva 10— y las dos muestras en un mismo cuadro (diap. 6), pero </w:t>
      </w:r>
      <w:r>
        <w:rPr>
          <w:rFonts w:ascii="Calibri" w:hAnsi="Calibri"/>
          <w:b/>
          <w:color w:val="2B2B2B"/>
          <w:sz w:val="22"/>
        </w:rPr>
        <w:t>no reclama en ninguna parte el componente cualitativo</w:t>
      </w:r>
      <w:r>
        <w:rPr>
          <w:rFonts w:ascii="Calibri" w:hAnsi="Calibri"/>
          <w:b w:val="0"/>
          <w:color w:val="2B2B2B"/>
          <w:sz w:val="22"/>
        </w:rPr>
        <w:t>: «cualitativo» da cero coincidencias en las 19 diapositivas (§5, puntos 8 y 9).</w:t>
      </w:r>
    </w:p>
    <w:p>
      <w:pPr>
        <w:pStyle w:val="ListNumber"/>
      </w:pPr>
      <w:r>
        <w:rPr>
          <w:rFonts w:ascii="Calibri" w:hAnsi="Calibri"/>
          <w:b/>
          <w:color w:val="2B2B2B"/>
          <w:sz w:val="22"/>
        </w:rPr>
        <w:t>Tiempos verbales en futuro dentro de secciones de resultados:</w:t>
      </w:r>
      <w:r>
        <w:rPr>
          <w:rFonts w:ascii="Calibri" w:hAnsi="Calibri"/>
          <w:b w:val="0"/>
          <w:color w:val="2B2B2B"/>
          <w:sz w:val="22"/>
        </w:rPr>
        <w:t xml:space="preserve"> «se aplicará una encuesta vía forms» (p. 49), «los datos obtenidos se contrastarán», «se formularán lineamientos» (p. 73), «se generará un informe detallado» (p. 75). El trabajo de campo se lee como propuesta justo donde debería leerse como ejecución.</w:t>
      </w:r>
    </w:p>
    <w:p>
      <w:pPr>
        <w:pStyle w:val="ListNumber"/>
      </w:pPr>
      <w:r>
        <w:rPr>
          <w:rFonts w:ascii="Calibri" w:hAnsi="Calibri"/>
          <w:b/>
          <w:color w:val="2B2B2B"/>
          <w:sz w:val="22"/>
        </w:rPr>
        <w:t>No hay reporte de ejecución de pruebas del prototipo</w:t>
      </w:r>
      <w:r>
        <w:rPr>
          <w:rFonts w:ascii="Calibri" w:hAnsi="Calibri"/>
          <w:b w:val="0"/>
          <w:color w:val="2B2B2B"/>
          <w:sz w:val="22"/>
        </w:rPr>
        <w:t xml:space="preserve"> (pp. 61-62), ni URL ni repositorio en las 94 páginas. La evidencia visual existe (pp. 54-57, 69-73), pero una de las capturas de «pantallas del prototipo» es código fuente de una barra de navegación (p. 57), no una pantalla en uso. En la sustentación esto empeora por dos vías: del prototipo se proyecta </w:t>
      </w:r>
      <w:r>
        <w:rPr>
          <w:rFonts w:ascii="Calibri" w:hAnsi="Calibri"/>
          <w:b/>
          <w:color w:val="2B2B2B"/>
          <w:sz w:val="22"/>
        </w:rPr>
        <w:t>una sola imagen</w:t>
      </w:r>
      <w:r>
        <w:rPr>
          <w:rFonts w:ascii="Calibri" w:hAnsi="Calibri"/>
          <w:b w:val="0"/>
          <w:color w:val="2B2B2B"/>
          <w:sz w:val="22"/>
        </w:rPr>
        <w:t xml:space="preserve"> (diap. 12) y lo que la diapositiva 14 titula «Pruebas realizadas de funcionamiento» son conteos de la base de datos, no pruebas del software (§5, puntos 10 y 11).</w:t>
      </w:r>
    </w:p>
    <w:p>
      <w:pPr>
        <w:pStyle w:val="ListNumber"/>
      </w:pPr>
      <w:r>
        <w:rPr>
          <w:rFonts w:ascii="Calibri" w:hAnsi="Calibri"/>
          <w:b/>
          <w:color w:val="2B2B2B"/>
          <w:sz w:val="22"/>
        </w:rPr>
        <w:t>La muestra responde a otra pregunta que la formulada.</w:t>
      </w:r>
      <w:r>
        <w:rPr>
          <w:rFonts w:ascii="Calibri" w:hAnsi="Calibri"/>
          <w:b w:val="0"/>
          <w:color w:val="2B2B2B"/>
          <w:sz w:val="22"/>
        </w:rPr>
        <w:t xml:space="preserve"> La pregunta es por el nivel de TD de las pymes de Bogotá (p. 15); las 30 empresas vienen del banco de elegibles de «MiPymes Innovadoras» (p. 33) y ~40% son nativas digitales (p. 50), lo que explica que casi la mitad salga «avanzada» (p. 47) y choca con el punto de partida del resumen —«las pymes de Bogotá enfrentan un nivel bajo de madurez» (p. 9)—. El sesgo está declarado (p. 20) pero no se usa al concluir (p. 90). En pantalla desaparece del todo: «MiPymes Innovadoras», «banco de elegibles», «Distrital» y «voluntariedad» dan cero coincidencias en las 19 diapositivas, de modo que el origen de la muestra —lo que explica el resultado— no llega al jurado (§5, punto 6).</w:t>
      </w:r>
    </w:p>
    <w:p>
      <w:pPr>
        <w:pStyle w:val="ListNumber"/>
      </w:pPr>
      <w:r>
        <w:rPr>
          <w:rFonts w:ascii="Calibri" w:hAnsi="Calibri"/>
          <w:b/>
          <w:color w:val="2B2B2B"/>
          <w:sz w:val="22"/>
        </w:rPr>
        <w:t>Faltan piezas de la última entrega:</w:t>
      </w:r>
      <w:r>
        <w:rPr>
          <w:rFonts w:ascii="Calibri" w:hAnsi="Calibri"/>
          <w:b w:val="0"/>
          <w:color w:val="2B2B2B"/>
          <w:sz w:val="22"/>
        </w:rPr>
        <w:t xml:space="preserve"> no hay cronograma, presupuesto, anexos ni reporte de similitud en el PDF (94 páginas, buscados con </w:t>
      </w:r>
      <w:r>
        <w:rPr>
          <w:rFonts w:ascii="Consolas" w:hAnsi="Consolas"/>
          <w:color w:val="111111"/>
          <w:sz w:val="21"/>
        </w:rPr>
        <w:t>--buscar</w:t>
      </w:r>
      <w:r>
        <w:rPr>
          <w:rFonts w:ascii="Calibri" w:hAnsi="Calibri"/>
          <w:b w:val="0"/>
          <w:color w:val="2B2B2B"/>
          <w:sz w:val="22"/>
        </w:rPr>
        <w:t>); «presupuesto» solo aparece como recomendación para las empresas (p. 77).</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Tarea_1_Presentacion_Proyecto_2_Grupo_ 7_2.pdf</w:t>
      </w:r>
      <w:r>
        <w:rPr>
          <w:rFonts w:ascii="Calibri" w:hAnsi="Calibri"/>
          <w:b w:val="0"/>
          <w:color w:val="2B2B2B"/>
          <w:sz w:val="22"/>
        </w:rPr>
        <w:t xml:space="preserve"> — </w:t>
      </w:r>
      <w:r>
        <w:rPr>
          <w:rFonts w:ascii="Calibri" w:hAnsi="Calibri"/>
          <w:b/>
          <w:color w:val="2B2B2B"/>
          <w:sz w:val="22"/>
        </w:rPr>
        <w:t>19 diapositivas</w:t>
      </w:r>
      <w:r>
        <w:rPr>
          <w:rFonts w:ascii="Calibri" w:hAnsi="Calibri"/>
          <w:b w:val="0"/>
          <w:color w:val="2B2B2B"/>
          <w:sz w:val="22"/>
        </w:rPr>
        <w:t xml:space="preserve"> (1 portada · 2 introducción · 3 problema y pregunta de investigación · 4 objetivos · 5 justificación · 6 alcance y limitaciones · 7 marco referencial, contexto y los cinco niveles de Gartner · 8 marco conceptual · 9 portadilla «Metodología» · 10 diagrama de flujo del proceso, ocho pasos · 11 modelo entidad-relación · 12 portadilla «Funcionamiento Prototipo», una captura · 13 portadilla «Resultados» · 14 validación: pruebas de funcionamiento · 15 madurez digital y competitividad esperada · 16 interpretación de datos generales · 17 conclusiones · 18 referencias · 19 «Preguntas?»).</w:t>
      </w:r>
    </w:p>
    <w:p>
      <w:r>
        <w:rPr>
          <w:rFonts w:ascii="Calibri" w:hAnsi="Calibri"/>
          <w:b w:val="0"/>
          <w:color w:val="2B2B2B"/>
          <w:sz w:val="22"/>
        </w:rPr>
        <w:t xml:space="preserve">Este mazo se comporta al revés del de otros grupos: </w:t>
      </w:r>
      <w:r>
        <w:rPr>
          <w:rFonts w:ascii="Calibri" w:hAnsi="Calibri"/>
          <w:b/>
          <w:color w:val="2B2B2B"/>
          <w:sz w:val="22"/>
        </w:rPr>
        <w:t>sí proyecta la sección de resultados, y en detalle</w:t>
      </w:r>
      <w:r>
        <w:rPr>
          <w:rFonts w:ascii="Calibri" w:hAnsi="Calibri"/>
          <w:b w:val="0"/>
          <w:color w:val="2B2B2B"/>
          <w:sz w:val="22"/>
        </w:rPr>
        <w:t xml:space="preserve">. Las diapositivas 14, 15 y 16 son tres tablas densas, legibles como texto, y son exactamente los tres artefactos más comprometidos del documento —la Tabla 9 de la p. 79 que certifica «OK», la Tabla 8 de la p. 78 que asigna 100/67/33 y la Tabla 13 de la p. 84 con las referencias rotas—. Dos consecuencias prácticas para la sala: las tres preguntas prioritarias se pueden hacer </w:t>
      </w:r>
      <w:r>
        <w:rPr>
          <w:rFonts w:ascii="Calibri" w:hAnsi="Calibri"/>
          <w:b/>
          <w:color w:val="2B2B2B"/>
          <w:sz w:val="22"/>
        </w:rPr>
        <w:t>señalando la pantalla</w:t>
      </w:r>
      <w:r>
        <w:rPr>
          <w:rFonts w:ascii="Calibri" w:hAnsi="Calibri"/>
          <w:b w:val="0"/>
          <w:color w:val="2B2B2B"/>
          <w:sz w:val="22"/>
        </w:rPr>
        <w:t xml:space="preserve">, sin obligar a nadie a buscar una página; y los tres jurados van a ver el «001» proyectado. Lo que el mazo deja fuera es igual de significativo: el instrumento completo, la regla de puntaje, el 71 %, el 2,54, el coeficiente, el stack tecnológico y el origen de la muestra. El mazo no contradice al documento tanto como </w:t>
      </w:r>
      <w:r>
        <w:rPr>
          <w:rFonts w:ascii="Calibri" w:hAnsi="Calibri"/>
          <w:b/>
          <w:color w:val="2B2B2B"/>
          <w:sz w:val="22"/>
        </w:rPr>
        <w:t>lo recorta hasta dejar solo las conclusiones y las tablas que las sostienen</w:t>
      </w:r>
      <w:r>
        <w:rPr>
          <w:rFonts w:ascii="Calibri" w:hAnsi="Calibri"/>
          <w:b w:val="0"/>
          <w:color w:val="2B2B2B"/>
          <w:sz w:val="22"/>
        </w:rPr>
        <w:t>.</w:t>
      </w:r>
    </w:p>
    <w:p>
      <w:pPr>
        <w:pStyle w:val="ListNumber"/>
      </w:pPr>
      <w:r>
        <w:rPr>
          <w:rFonts w:ascii="Calibri" w:hAnsi="Calibri"/>
          <w:b/>
          <w:color w:val="2B2B2B"/>
          <w:sz w:val="22"/>
        </w:rPr>
        <w:t>Las tres tablas que se proyectan son las tres que hay que preguntar.</w:t>
      </w:r>
      <w:r>
        <w:rPr>
          <w:rFonts w:ascii="Calibri" w:hAnsi="Calibri"/>
          <w:b w:val="0"/>
          <w:color w:val="2B2B2B"/>
          <w:sz w:val="22"/>
        </w:rPr>
        <w:t xml:space="preserve"> Nada más de los resultados llega a la pantalla: no hay tabla de puntajes por empresa (p. 47), ni de promedios por dimensión (pp. 77, 82), ni el índice por empresa (p. 83). Las diapositivas 14, 15 y 16 llevan solo el fondo de plantilla —</w:t>
      </w:r>
      <w:r>
        <w:rPr>
          <w:rFonts w:ascii="Consolas" w:hAnsi="Consolas"/>
          <w:color w:val="111111"/>
          <w:sz w:val="21"/>
        </w:rPr>
        <w:t>Image65.jpg</w:t>
      </w:r>
      <w:r>
        <w:rPr>
          <w:rFonts w:ascii="Calibri" w:hAnsi="Calibri"/>
          <w:b w:val="0"/>
          <w:color w:val="2B2B2B"/>
          <w:sz w:val="22"/>
        </w:rPr>
        <w:t>, la misma imagen en las tres— y todo su contenido es texto, así que se lee bien desde la sala. Es una ventaja para el jurado: las preguntas 1 y 2 y las tres que se leyeron el 18/08 se pueden anclar en lo proyectado.</w:t>
      </w:r>
    </w:p>
    <w:p>
      <w:pPr>
        <w:pStyle w:val="ListNumber"/>
      </w:pPr>
      <w:r>
        <w:rPr>
          <w:rFonts w:ascii="Calibri" w:hAnsi="Calibri"/>
          <w:b/>
          <w:color w:val="2B2B2B"/>
          <w:sz w:val="22"/>
        </w:rPr>
        <w:t>Las referencias rotas se proyectan, tres en la misma diapositiva.</w:t>
      </w:r>
      <w:r>
        <w:rPr>
          <w:rFonts w:ascii="Calibri" w:hAnsi="Calibri"/>
          <w:b w:val="0"/>
          <w:color w:val="2B2B2B"/>
          <w:sz w:val="22"/>
        </w:rPr>
        <w:t xml:space="preserve"> La 16 imprime «Promedio TD medio — </w:t>
      </w:r>
      <w:r>
        <w:rPr>
          <w:rFonts w:ascii="Calibri" w:hAnsi="Calibri"/>
          <w:b/>
          <w:color w:val="2B2B2B"/>
          <w:sz w:val="22"/>
        </w:rPr>
        <w:t>003 / 4</w:t>
      </w:r>
      <w:r>
        <w:rPr>
          <w:rFonts w:ascii="Calibri" w:hAnsi="Calibri"/>
          <w:b w:val="0"/>
          <w:color w:val="2B2B2B"/>
          <w:sz w:val="22"/>
        </w:rPr>
        <w:t xml:space="preserve">», «Índice promedio similar al promedio TD — </w:t>
      </w:r>
      <w:r>
        <w:rPr>
          <w:rFonts w:ascii="Calibri" w:hAnsi="Calibri"/>
          <w:b/>
          <w:color w:val="2B2B2B"/>
          <w:sz w:val="22"/>
        </w:rPr>
        <w:t>003 / 4</w:t>
      </w:r>
      <w:r>
        <w:rPr>
          <w:rFonts w:ascii="Calibri" w:hAnsi="Calibri"/>
          <w:b w:val="0"/>
          <w:color w:val="2B2B2B"/>
          <w:sz w:val="22"/>
        </w:rPr>
        <w:t xml:space="preserve">» y «Correlación positiva alta — </w:t>
      </w:r>
      <w:r>
        <w:rPr>
          <w:rFonts w:ascii="Calibri" w:hAnsi="Calibri"/>
          <w:b/>
          <w:color w:val="2B2B2B"/>
          <w:sz w:val="22"/>
        </w:rPr>
        <w:t>001</w:t>
      </w:r>
      <w:r>
        <w:rPr>
          <w:rFonts w:ascii="Calibri" w:hAnsi="Calibri"/>
          <w:b w:val="0"/>
          <w:color w:val="2B2B2B"/>
          <w:sz w:val="22"/>
        </w:rPr>
        <w:t xml:space="preserve">». Es la diapositiva de interpretación general, la que un jurado usa para juzgar si el objetivo 4 se cumplió. Se mantiene el criterio de la §7: </w:t>
      </w:r>
      <w:r>
        <w:rPr>
          <w:rFonts w:ascii="Calibri" w:hAnsi="Calibri"/>
          <w:b/>
          <w:color w:val="2B2B2B"/>
          <w:sz w:val="22"/>
        </w:rPr>
        <w:t>no señalar el error como error en público</w:t>
      </w:r>
      <w:r>
        <w:rPr>
          <w:rFonts w:ascii="Calibri" w:hAnsi="Calibri"/>
          <w:b w:val="0"/>
          <w:color w:val="2B2B2B"/>
          <w:sz w:val="22"/>
        </w:rPr>
        <w:t>; se pregunta por el valor y la nota de forma va a la retroalimentación escrita.</w:t>
      </w:r>
    </w:p>
    <w:p>
      <w:pPr>
        <w:pStyle w:val="ListNumber"/>
      </w:pPr>
      <w:r>
        <w:rPr>
          <w:rFonts w:ascii="Calibri" w:hAnsi="Calibri"/>
          <w:b/>
          <w:color w:val="2B2B2B"/>
          <w:sz w:val="22"/>
        </w:rPr>
        <w:t>Las dos clasificaciones incompatibles están las dos en pantalla, a dos diapositivas de distancia.</w:t>
      </w:r>
      <w:r>
        <w:rPr>
          <w:rFonts w:ascii="Calibri" w:hAnsi="Calibri"/>
          <w:b w:val="0"/>
          <w:color w:val="2B2B2B"/>
          <w:sz w:val="22"/>
        </w:rPr>
        <w:t xml:space="preserve"> La 14 certifica «Distribución por nivel — 12 avanzado, 10 intermedio, 8 inicial-intermedio — </w:t>
      </w:r>
      <w:r>
        <w:rPr>
          <w:rFonts w:ascii="Calibri" w:hAnsi="Calibri"/>
          <w:b/>
          <w:color w:val="2B2B2B"/>
          <w:sz w:val="22"/>
        </w:rPr>
        <w:t>OK</w:t>
      </w:r>
      <w:r>
        <w:rPr>
          <w:rFonts w:ascii="Calibri" w:hAnsi="Calibri"/>
          <w:b w:val="0"/>
          <w:color w:val="2B2B2B"/>
          <w:sz w:val="22"/>
        </w:rPr>
        <w:t xml:space="preserve">» y la 15 la repite con gráfico; la 16, en su lectura de la madurez general, dice «Persisten empresas en niveles </w:t>
      </w:r>
      <w:r>
        <w:rPr>
          <w:rFonts w:ascii="Calibri" w:hAnsi="Calibri"/>
          <w:b/>
          <w:color w:val="2B2B2B"/>
          <w:sz w:val="22"/>
        </w:rPr>
        <w:t>Inicial y Básico</w:t>
      </w:r>
      <w:r>
        <w:rPr>
          <w:rFonts w:ascii="Calibri" w:hAnsi="Calibri"/>
          <w:b w:val="0"/>
          <w:color w:val="2B2B2B"/>
          <w:sz w:val="22"/>
        </w:rPr>
        <w:t xml:space="preserve">». «Básico» es un nivel que no existe en el 12/10/8: existe solo en la Tabla 10 de la p. 80, la del 13/1/6/10 (§4, punto 2). Aparece </w:t>
      </w:r>
      <w:r>
        <w:rPr>
          <w:rFonts w:ascii="Calibri" w:hAnsi="Calibri"/>
          <w:b/>
          <w:color w:val="2B2B2B"/>
          <w:sz w:val="22"/>
        </w:rPr>
        <w:t>una sola vez</w:t>
      </w:r>
      <w:r>
        <w:rPr>
          <w:rFonts w:ascii="Calibri" w:hAnsi="Calibri"/>
          <w:b w:val="0"/>
          <w:color w:val="2B2B2B"/>
          <w:sz w:val="22"/>
        </w:rPr>
        <w:t xml:space="preserve"> en las 19 diapositivas y nada en el mazo reconcilia las dos escalas. Si en sala defienden el 12/10/8, esa palabra es la grieta.</w:t>
      </w:r>
    </w:p>
    <w:p>
      <w:pPr>
        <w:pStyle w:val="ListNumber"/>
      </w:pPr>
      <w:r>
        <w:rPr>
          <w:rFonts w:ascii="Calibri" w:hAnsi="Calibri"/>
          <w:b/>
          <w:color w:val="2B2B2B"/>
          <w:sz w:val="22"/>
        </w:rPr>
        <w:t>La circularidad del hallazgo principal se proyecta entera y en una sola diapositiva.</w:t>
      </w:r>
      <w:r>
        <w:rPr>
          <w:rFonts w:ascii="Calibri" w:hAnsi="Calibri"/>
          <w:b w:val="0"/>
          <w:color w:val="2B2B2B"/>
          <w:sz w:val="22"/>
        </w:rPr>
        <w:t xml:space="preserve"> La tabla de la 15 tiene cinco columnas: Nivel de madurez · Empresas · </w:t>
      </w:r>
      <w:r>
        <w:rPr>
          <w:rFonts w:ascii="Calibri" w:hAnsi="Calibri"/>
          <w:b/>
          <w:color w:val="2B2B2B"/>
          <w:sz w:val="22"/>
        </w:rPr>
        <w:t>Puntaje madurez</w:t>
      </w:r>
      <w:r>
        <w:rPr>
          <w:rFonts w:ascii="Calibri" w:hAnsi="Calibri"/>
          <w:b w:val="0"/>
          <w:color w:val="2B2B2B"/>
          <w:sz w:val="22"/>
        </w:rPr>
        <w:t xml:space="preserve"> (100, 67, 33) · </w:t>
      </w:r>
      <w:r>
        <w:rPr>
          <w:rFonts w:ascii="Calibri" w:hAnsi="Calibri"/>
          <w:b/>
          <w:color w:val="2B2B2B"/>
          <w:sz w:val="22"/>
        </w:rPr>
        <w:t>Competitividad esperada</w:t>
      </w:r>
      <w:r>
        <w:rPr>
          <w:rFonts w:ascii="Calibri" w:hAnsi="Calibri"/>
          <w:b w:val="0"/>
          <w:color w:val="2B2B2B"/>
          <w:sz w:val="22"/>
        </w:rPr>
        <w:t xml:space="preserve"> (Alta, Media-alta, Media / por desarrollar) · Relación con competitividad. Y el texto de la misma diapositiva concluye: «Esto confirma que una mayor madurez digital se asocia con mayor competitividad esperada». La asignación y la conclusión que se deriva de ella comparten pantalla, con un gráfico de barras de los 100/67/33 al pie. Es el mejor soporte posible para la </w:t>
      </w:r>
      <w:r>
        <w:rPr>
          <w:rFonts w:ascii="Calibri" w:hAnsi="Calibri"/>
          <w:b/>
          <w:color w:val="2B2B2B"/>
          <w:sz w:val="22"/>
        </w:rPr>
        <w:t>pregunta 1</w:t>
      </w:r>
      <w:r>
        <w:rPr>
          <w:rFonts w:ascii="Calibri" w:hAnsi="Calibri"/>
          <w:b w:val="0"/>
          <w:color w:val="2B2B2B"/>
          <w:sz w:val="22"/>
        </w:rPr>
        <w:t>: los tres puntajes están proyectados; lo único que falta es el 71 % que producen.</w:t>
      </w:r>
    </w:p>
    <w:p>
      <w:pPr>
        <w:pStyle w:val="ListNumber"/>
      </w:pPr>
      <w:r>
        <w:rPr>
          <w:rFonts w:ascii="Calibri" w:hAnsi="Calibri"/>
          <w:b/>
          <w:color w:val="2B2B2B"/>
          <w:sz w:val="22"/>
        </w:rPr>
        <w:t>Ninguno de los indicadores de cierre llega a la pantalla.</w:t>
      </w:r>
      <w:r>
        <w:rPr>
          <w:rFonts w:ascii="Calibri" w:hAnsi="Calibri"/>
          <w:b w:val="0"/>
          <w:color w:val="2B2B2B"/>
          <w:sz w:val="22"/>
        </w:rPr>
        <w:t xml:space="preserve"> «2,54» → cero. «Pearson», «Spearman», «0,98» → cero. «2,07» y «2,40», los dos promedios de las dimensiones rezagadas → cero: la diapositiva 16 nombra «Canales digitales y Automatización» como dato soporte, sin cifra. Y el </w:t>
      </w:r>
      <w:r>
        <w:rPr>
          <w:rFonts w:ascii="Calibri" w:hAnsi="Calibri"/>
          <w:b/>
          <w:color w:val="2B2B2B"/>
          <w:sz w:val="22"/>
        </w:rPr>
        <w:t>71 %</w:t>
      </w:r>
      <w:r>
        <w:rPr>
          <w:rFonts w:ascii="Calibri" w:hAnsi="Calibri"/>
          <w:b w:val="0"/>
          <w:color w:val="2B2B2B"/>
          <w:sz w:val="22"/>
        </w:rPr>
        <w:t xml:space="preserve"> tampoco: el único «71» del mazo está dentro de una URL de la diapositiva 18. Es decir, el indicador que cierra el diagnóstico y el coeficiente que cierra el objetivo 4 no se van a decir solos: hay que preguntarlos.</w:t>
      </w:r>
    </w:p>
    <w:p>
      <w:pPr>
        <w:pStyle w:val="ListNumber"/>
      </w:pPr>
      <w:r>
        <w:rPr>
          <w:rFonts w:ascii="Calibri" w:hAnsi="Calibri"/>
          <w:b/>
          <w:color w:val="2B2B2B"/>
          <w:sz w:val="22"/>
        </w:rPr>
        <w:t>El origen de la muestra no se proyecta.</w:t>
      </w:r>
      <w:r>
        <w:rPr>
          <w:rFonts w:ascii="Calibri" w:hAnsi="Calibri"/>
          <w:b w:val="0"/>
          <w:color w:val="2B2B2B"/>
          <w:sz w:val="22"/>
        </w:rPr>
        <w:t xml:space="preserve"> La diapositiva 16 dice «30 empresas encuestadas en 10 localidades» y ahí termina. «MiPymes Innovadoras», «banco de elegibles», «SDDE», «ATENEA», «Distrital» y «voluntariedad» dan </w:t>
      </w:r>
      <w:r>
        <w:rPr>
          <w:rFonts w:ascii="Calibri" w:hAnsi="Calibri"/>
          <w:b/>
          <w:color w:val="2B2B2B"/>
          <w:sz w:val="22"/>
        </w:rPr>
        <w:t>cero</w:t>
      </w:r>
      <w:r>
        <w:rPr>
          <w:rFonts w:ascii="Calibri" w:hAnsi="Calibri"/>
          <w:b w:val="0"/>
          <w:color w:val="2B2B2B"/>
          <w:sz w:val="22"/>
        </w:rPr>
        <w:t xml:space="preserve"> coincidencias en las 19 diapositivas. El sesgo que explica el resultado —30 empresas del banco de elegibles de una convocatoria de innovación, ~40 % nativas digitales (pp. 33, 50)— desaparece, y con él la razón por la que casi la mitad sale «avanzada». Crédito parcial: la diapositiva 6 sí proyecta cuatro limitaciones reales, entre ellas la autodeclaración y la no representatividad; la que falta es justo la de selección.</w:t>
      </w:r>
    </w:p>
    <w:p>
      <w:pPr>
        <w:pStyle w:val="ListNumber"/>
      </w:pPr>
      <w:r>
        <w:rPr>
          <w:rFonts w:ascii="Calibri" w:hAnsi="Calibri"/>
          <w:b/>
          <w:color w:val="2B2B2B"/>
          <w:sz w:val="22"/>
        </w:rPr>
        <w:t>Tres vocabularios de niveles en pantalla, y ninguno es el del instrumento.</w:t>
      </w:r>
      <w:r>
        <w:rPr>
          <w:rFonts w:ascii="Calibri" w:hAnsi="Calibri"/>
          <w:b w:val="0"/>
          <w:color w:val="2B2B2B"/>
          <w:sz w:val="22"/>
        </w:rPr>
        <w:t xml:space="preserve"> La diapositiva 7 proyecta los cinco de Gartner (Inicial · Gestionado · Definido · Cuantitativamente Gestionado · Optimizado, fieles a la p. 23); las 14 y 15 usan Avanzado / Intermedio / Inicial-Intermedio; la 16 añade Inicial / Básico. Los cuatro niveles que el propio modelo declara en las pp. 36-37 —Inicial, </w:t>
      </w:r>
      <w:r>
        <w:rPr>
          <w:rFonts w:ascii="Calibri" w:hAnsi="Calibri"/>
          <w:b/>
          <w:color w:val="2B2B2B"/>
          <w:sz w:val="22"/>
        </w:rPr>
        <w:t>En Desarrollo</w:t>
      </w:r>
      <w:r>
        <w:rPr>
          <w:rFonts w:ascii="Calibri" w:hAnsi="Calibri"/>
          <w:b w:val="0"/>
          <w:color w:val="2B2B2B"/>
          <w:sz w:val="22"/>
        </w:rPr>
        <w:t xml:space="preserve">, Avanzado y </w:t>
      </w:r>
      <w:r>
        <w:rPr>
          <w:rFonts w:ascii="Calibri" w:hAnsi="Calibri"/>
          <w:b/>
          <w:color w:val="2B2B2B"/>
          <w:sz w:val="22"/>
        </w:rPr>
        <w:t>Líder Digital</w:t>
      </w:r>
      <w:r>
        <w:rPr>
          <w:rFonts w:ascii="Calibri" w:hAnsi="Calibri"/>
          <w:b w:val="0"/>
          <w:color w:val="2B2B2B"/>
          <w:sz w:val="22"/>
        </w:rPr>
        <w:t>— no aparecen: las dos etiquetas propias dan cero coincidencias. El trabajo se titula «diseño de un modelo de diagnóstico» y en pantalla el modelo no tiene una escala única.</w:t>
      </w:r>
    </w:p>
    <w:p>
      <w:pPr>
        <w:pStyle w:val="ListNumber"/>
      </w:pPr>
      <w:r>
        <w:rPr>
          <w:rFonts w:ascii="Calibri" w:hAnsi="Calibri"/>
          <w:b/>
          <w:color w:val="2B2B2B"/>
          <w:sz w:val="22"/>
        </w:rPr>
        <w:t>La diapositiva 6 proyecta dos muestras contradictorias en el mismo cuadro, y una promesa que el documento no cumplió.</w:t>
      </w:r>
      <w:r>
        <w:rPr>
          <w:rFonts w:ascii="Calibri" w:hAnsi="Calibri"/>
          <w:b w:val="0"/>
          <w:color w:val="2B2B2B"/>
          <w:sz w:val="22"/>
        </w:rPr>
        <w:t xml:space="preserve"> Textual: «La validación se limita a pruebas piloto con </w:t>
      </w:r>
      <w:r>
        <w:rPr>
          <w:rFonts w:ascii="Calibri" w:hAnsi="Calibri"/>
          <w:b/>
          <w:color w:val="2B2B2B"/>
          <w:sz w:val="22"/>
        </w:rPr>
        <w:t>al menos 20 PYMES</w:t>
      </w:r>
      <w:r>
        <w:rPr>
          <w:rFonts w:ascii="Calibri" w:hAnsi="Calibri"/>
          <w:b w:val="0"/>
          <w:color w:val="2B2B2B"/>
          <w:sz w:val="22"/>
        </w:rPr>
        <w:t xml:space="preserve"> bogotanas» y, cuatro renglones más abajo, «La validación piloto (</w:t>
      </w:r>
      <w:r>
        <w:rPr>
          <w:rFonts w:ascii="Calibri" w:hAnsi="Calibri"/>
          <w:b/>
          <w:color w:val="2B2B2B"/>
          <w:sz w:val="22"/>
        </w:rPr>
        <w:t>30 empresas</w:t>
      </w:r>
      <w:r>
        <w:rPr>
          <w:rFonts w:ascii="Calibri" w:hAnsi="Calibri"/>
          <w:b w:val="0"/>
          <w:color w:val="2B2B2B"/>
          <w:sz w:val="22"/>
        </w:rPr>
        <w:t xml:space="preserve">) ofrece resultados preliminares no estadísticamente representativos». El documento dice «al menos 30» (p. 20). Corregir antes de proyectar. La misma diapositiva imprime «Generar la construcción (diseño) y </w:t>
      </w:r>
      <w:r>
        <w:rPr>
          <w:rFonts w:ascii="Calibri" w:hAnsi="Calibri"/>
          <w:b/>
          <w:color w:val="2B2B2B"/>
          <w:sz w:val="22"/>
        </w:rPr>
        <w:t>validación</w:t>
      </w:r>
      <w:r>
        <w:rPr>
          <w:rFonts w:ascii="Calibri" w:hAnsi="Calibri"/>
          <w:b w:val="0"/>
          <w:color w:val="2B2B2B"/>
          <w:sz w:val="22"/>
        </w:rPr>
        <w:t xml:space="preserve"> de un instrumento de medición», que es la promesa del alcance (p. 19) que la p. 38 reconoce no haber cumplido (§4, punto 6).</w:t>
      </w:r>
    </w:p>
    <w:p>
      <w:pPr>
        <w:pStyle w:val="ListNumber"/>
      </w:pPr>
      <w:r>
        <w:rPr>
          <w:rFonts w:ascii="Calibri" w:hAnsi="Calibri"/>
          <w:b/>
          <w:color w:val="2B2B2B"/>
          <w:sz w:val="22"/>
        </w:rPr>
        <w:t>La diapositiva 6 excluye la implementación y el seguimiento; la 10 los pone como paso 8.</w:t>
      </w:r>
      <w:r>
        <w:rPr>
          <w:rFonts w:ascii="Calibri" w:hAnsi="Calibri"/>
          <w:b w:val="0"/>
          <w:color w:val="2B2B2B"/>
          <w:sz w:val="22"/>
        </w:rPr>
        <w:t xml:space="preserve"> La 6: «No incluye • Implementación de procesos de transformación digital • Seguimiento posterior en las empresas evaluadas». La 10, paso 8: «Implementación y seguimiento — Definición de acciones de intervención priorizadas, seguimiento a indicadores y acompañamiento para fortalecer la adopción tecnológica». </w:t>
      </w:r>
      <w:r>
        <w:rPr>
          <w:rFonts w:ascii="Calibri" w:hAnsi="Calibri"/>
          <w:b/>
          <w:color w:val="2B2B2B"/>
          <w:sz w:val="22"/>
        </w:rPr>
        <w:t>Precisión que hay que llevar bien aprendida:</w:t>
      </w:r>
      <w:r>
        <w:rPr>
          <w:rFonts w:ascii="Calibri" w:hAnsi="Calibri"/>
          <w:b w:val="0"/>
          <w:color w:val="2B2B2B"/>
          <w:sz w:val="22"/>
        </w:rPr>
        <w:t xml:space="preserve"> el diagrama es del documento (pp. 43, 49, 77, 80), no un invento del mazo; lo que hace el mazo es poner las dos frases a cuatro diapositivas de distancia, donde el documento las separa veinticuatro páginas. El paso 7, «Validación complementaria — Si se requiere información adicional, se aplican entrevistas semiestructuradas», es el condicional de la </w:t>
      </w:r>
      <w:r>
        <w:rPr>
          <w:rFonts w:ascii="Calibri" w:hAnsi="Calibri"/>
          <w:b/>
          <w:color w:val="2B2B2B"/>
          <w:sz w:val="22"/>
        </w:rPr>
        <w:t>pregunta 3</w:t>
      </w:r>
      <w:r>
        <w:rPr>
          <w:rFonts w:ascii="Calibri" w:hAnsi="Calibri"/>
          <w:b w:val="0"/>
          <w:color w:val="2B2B2B"/>
          <w:sz w:val="22"/>
        </w:rPr>
        <w:t>, proyectado.</w:t>
      </w:r>
    </w:p>
    <w:p>
      <w:pPr>
        <w:pStyle w:val="ListNumber"/>
      </w:pPr>
      <w:r>
        <w:rPr>
          <w:rFonts w:ascii="Calibri" w:hAnsi="Calibri"/>
          <w:b/>
          <w:color w:val="2B2B2B"/>
          <w:sz w:val="22"/>
        </w:rPr>
        <w:t>Lo que la diapositiva 14 llama «pruebas de funcionamiento» no son pruebas del prototipo.</w:t>
      </w:r>
      <w:r>
        <w:rPr>
          <w:rFonts w:ascii="Calibri" w:hAnsi="Calibri"/>
          <w:b w:val="0"/>
          <w:color w:val="2B2B2B"/>
          <w:sz w:val="22"/>
        </w:rPr>
        <w:t xml:space="preserve"> Lo que su tabla certifica es: conteo de empresas (debe ser 30), empresas clasificadas, distribución por nivel, suma de porcentajes igual a 100 % y coherencia de prioridades. Son verificaciones de consistencia sobre la tabulación, no ejecución de software. Las 66 pruebas con 45 de prioridad alta y los casos CP-001 a CP-006 (pp. 61-62) no aparecen: «CP-0» y «66 casos» dan cero. Quien escuche «pruebas realizadas de funcionamiento… resultado OK» concluirá que el prototipo se probó. </w:t>
      </w:r>
      <w:r>
        <w:rPr>
          <w:rFonts w:ascii="Calibri" w:hAnsi="Calibri"/>
          <w:b/>
          <w:color w:val="2B2B2B"/>
          <w:sz w:val="22"/>
        </w:rPr>
        <w:t>Crédito de la misma diapositiva:</w:t>
      </w:r>
      <w:r>
        <w:rPr>
          <w:rFonts w:ascii="Calibri" w:hAnsi="Calibri"/>
          <w:b w:val="0"/>
          <w:color w:val="2B2B2B"/>
          <w:sz w:val="22"/>
        </w:rPr>
        <w:t xml:space="preserve"> reporta por su cuenta la ambigüedad «LOS MARTIRES / MARTIRES» como «Observación», con la nota de que puede afectar el análisis territorial —es honesto, y es la misma fragilidad territorial de la reserva de Fontibón y Teusaquillo—.</w:t>
      </w:r>
    </w:p>
    <w:p>
      <w:pPr>
        <w:pStyle w:val="ListNumber"/>
      </w:pPr>
      <w:r>
        <w:rPr>
          <w:rFonts w:ascii="Calibri" w:hAnsi="Calibri"/>
          <w:b/>
          <w:color w:val="2B2B2B"/>
          <w:sz w:val="22"/>
        </w:rPr>
        <w:t>Del prototipo se proyecta una sola captura, y el stack no se nombra.</w:t>
      </w:r>
      <w:r>
        <w:rPr>
          <w:rFonts w:ascii="Calibri" w:hAnsi="Calibri"/>
          <w:b w:val="0"/>
          <w:color w:val="2B2B2B"/>
          <w:sz w:val="22"/>
        </w:rPr>
        <w:t xml:space="preserve"> La diapositiva 12 es una portadilla —«Funcionamiento Prototipo», 24 caracteres— con una imagen (</w:t>
      </w:r>
      <w:r>
        <w:rPr>
          <w:rFonts w:ascii="Consolas" w:hAnsi="Consolas"/>
          <w:color w:val="111111"/>
          <w:sz w:val="21"/>
        </w:rPr>
        <w:t>Image137.jpg</w:t>
      </w:r>
      <w:r>
        <w:rPr>
          <w:rFonts w:ascii="Calibri" w:hAnsi="Calibri"/>
          <w:b w:val="0"/>
          <w:color w:val="2B2B2B"/>
          <w:sz w:val="22"/>
        </w:rPr>
        <w:t>); la 11 lleva el modelo entidad-relación (</w:t>
      </w:r>
      <w:r>
        <w:rPr>
          <w:rFonts w:ascii="Consolas" w:hAnsi="Consolas"/>
          <w:color w:val="111111"/>
          <w:sz w:val="21"/>
        </w:rPr>
        <w:t>Image134.jpg</w:t>
      </w:r>
      <w:r>
        <w:rPr>
          <w:rFonts w:ascii="Calibri" w:hAnsi="Calibri"/>
          <w:b w:val="0"/>
          <w:color w:val="2B2B2B"/>
          <w:sz w:val="22"/>
        </w:rPr>
        <w:t xml:space="preserve">) y su descripción de entidades. «MySQL», «Express», «Vite» y «dashboard» dan cero coincidencias en el mazo (los aciertos de «React» y «Node» son «reactivo» y una URL). De las capturas de escritorio y móvil (pp. 54-57, 69-73) y de la arquitectura (pp. 58, 74) no llega nada, así que el «cumplido parcialmente» de la p. 89 es en la sustentación aún menos visible que en el documento: se sostiene la condicional de la §7. </w:t>
      </w:r>
      <w:r>
        <w:rPr>
          <w:rFonts w:ascii="Calibri" w:hAnsi="Calibri"/>
          <w:b/>
          <w:color w:val="2B2B2B"/>
          <w:sz w:val="22"/>
        </w:rPr>
        <w:t>Crédito:</w:t>
      </w:r>
      <w:r>
        <w:rPr>
          <w:rFonts w:ascii="Calibri" w:hAnsi="Calibri"/>
          <w:b w:val="0"/>
          <w:color w:val="2B2B2B"/>
          <w:sz w:val="22"/>
        </w:rPr>
        <w:t xml:space="preserve"> la diapositiva 11 escribe «Modelo Entidad-Relación ER», que corrige el «Modelo Entidad - ERP» de la p. 75.</w:t>
      </w:r>
    </w:p>
    <w:p>
      <w:pPr>
        <w:pStyle w:val="ListNumber"/>
      </w:pPr>
      <w:r>
        <w:rPr>
          <w:rFonts w:ascii="Calibri" w:hAnsi="Calibri"/>
          <w:b/>
          <w:color w:val="2B2B2B"/>
          <w:sz w:val="22"/>
        </w:rPr>
        <w:t>Las conclusiones de la diapositiva 17 suben el techo del trabajo y añaden una cuarta lista de dimensiones.</w:t>
      </w:r>
      <w:r>
        <w:rPr>
          <w:rFonts w:ascii="Calibri" w:hAnsi="Calibri"/>
          <w:b w:val="0"/>
          <w:color w:val="2B2B2B"/>
          <w:sz w:val="22"/>
        </w:rPr>
        <w:t xml:space="preserve"> «Esto convierte la propuesta en una solución práctica, </w:t>
      </w:r>
      <w:r>
        <w:rPr>
          <w:rFonts w:ascii="Calibri" w:hAnsi="Calibri"/>
          <w:b/>
          <w:color w:val="2B2B2B"/>
          <w:sz w:val="22"/>
        </w:rPr>
        <w:t>escalable</w:t>
      </w:r>
      <w:r>
        <w:rPr>
          <w:rFonts w:ascii="Calibri" w:hAnsi="Calibri"/>
          <w:b w:val="0"/>
          <w:color w:val="2B2B2B"/>
          <w:sz w:val="22"/>
        </w:rPr>
        <w:t xml:space="preserve"> y replicable», contra la p. 21 —«no constituye una solución escalable ni contempla soporte técnico posterior»— y contra el «cumplido parcialmente» de la p. 89: es la reserva «Escalable o no escalable», que ya cita esta diapositiva. Y la misma diapositiva enumera ocho dimensiones —tecnología, procesos, datos, cultura digital, talento humano, ciberseguridad, innovación y estrategia— que no son las cinco del resumen (p. 9), ni las seis del alcance (p. 19), ni las diez del instrumento (p. 34).</w:t>
      </w:r>
    </w:p>
    <w:p>
      <w:pPr>
        <w:pStyle w:val="ListNumber"/>
      </w:pPr>
      <w:r>
        <w:rPr>
          <w:rFonts w:ascii="Calibri" w:hAnsi="Calibri"/>
          <w:b/>
          <w:color w:val="2B2B2B"/>
          <w:sz w:val="22"/>
        </w:rPr>
        <w:t>La diapositiva 18 tiene ocho referencias, y el mazo cita seis obras que no están en ella.</w:t>
      </w:r>
      <w:r>
        <w:rPr>
          <w:rFonts w:ascii="Calibri" w:hAnsi="Calibri"/>
          <w:b w:val="0"/>
          <w:color w:val="2B2B2B"/>
          <w:sz w:val="22"/>
        </w:rPr>
        <w:t xml:space="preserve"> Faltan CIPE &amp; iNNpulsa 2024 (diap. 3), DANE 2023 y MinTIC 2021 (diap. 7 — la lista trae «Dane 2022» y «MinTIC 2020», así que tampoco coinciden los años), DNP 2023 (diap. 7), </w:t>
      </w:r>
      <w:r>
        <w:rPr>
          <w:rFonts w:ascii="Calibri" w:hAnsi="Calibri"/>
          <w:b/>
          <w:color w:val="2B2B2B"/>
          <w:sz w:val="22"/>
        </w:rPr>
        <w:t>Gartner 2018</w:t>
      </w:r>
      <w:r>
        <w:rPr>
          <w:rFonts w:ascii="Calibri" w:hAnsi="Calibri"/>
          <w:b w:val="0"/>
          <w:color w:val="2B2B2B"/>
          <w:sz w:val="22"/>
        </w:rPr>
        <w:t xml:space="preserve"> (diap. 7, el modelo sobre el que se apoya toda la escala) y OCDE 2015 (diap. 8, citada entre comillas). Y al revés: cinco de las ocho entradas —Conpes 3975, Becerra Elejalde, López &amp; Hernández, Manco Zapata &amp; Cortes Gómez y Sarmiento Suárez— no se citan en ninguna diapositiva. Las ocho sí existen en la lista del documento (pp. 93-94), donde el problema es el simétrico: al menos 14 citas del cuerpo sin entrada (§9, bloque de forma). </w:t>
      </w:r>
      <w:r>
        <w:rPr>
          <w:rFonts w:ascii="Calibri" w:hAnsi="Calibri"/>
          <w:b/>
          <w:color w:val="2B2B2B"/>
          <w:sz w:val="22"/>
        </w:rPr>
        <w:t>No se pregunta en sala</w:t>
      </w:r>
      <w:r>
        <w:rPr>
          <w:rFonts w:ascii="Calibri" w:hAnsi="Calibri"/>
          <w:b w:val="0"/>
          <w:color w:val="2B2B2B"/>
          <w:sz w:val="22"/>
        </w:rPr>
        <w:t>: se anota para la retroalimentación escrita.</w:t>
      </w:r>
    </w:p>
    <w:p>
      <w:pPr>
        <w:pStyle w:val="ListNumber"/>
      </w:pPr>
      <w:r>
        <w:rPr>
          <w:rFonts w:ascii="Calibri" w:hAnsi="Calibri"/>
          <w:b/>
          <w:color w:val="2B2B2B"/>
          <w:sz w:val="22"/>
        </w:rPr>
        <w:t>Lo que el mazo hace bien, y hay que reconocerlo.</w:t>
      </w:r>
      <w:r>
        <w:rPr>
          <w:rFonts w:ascii="Calibri" w:hAnsi="Calibri"/>
          <w:b w:val="0"/>
          <w:color w:val="2B2B2B"/>
          <w:sz w:val="22"/>
        </w:rPr>
        <w:t xml:space="preserve"> Primero, algo que importa más que la forma: </w:t>
      </w:r>
      <w:r>
        <w:rPr>
          <w:rFonts w:ascii="Calibri" w:hAnsi="Calibri"/>
          <w:b/>
          <w:color w:val="2B2B2B"/>
          <w:sz w:val="22"/>
        </w:rPr>
        <w:t>ninguna diapositiva expone datos de las empresas con nombre propio.</w:t>
      </w:r>
      <w:r>
        <w:rPr>
          <w:rFonts w:ascii="Calibri" w:hAnsi="Calibri"/>
          <w:b w:val="0"/>
          <w:color w:val="2B2B2B"/>
          <w:sz w:val="22"/>
        </w:rPr>
        <w:t xml:space="preserve"> «S.A.S», «Lyrical» y las razones sociales dan cero coincidencias, y no se proyecta ni la tabla de la p. 46 ni la columna de ciberseguridad de la p. 47. La preocupación de datos de terceros del §9 y de su reserva es del </w:t>
      </w:r>
      <w:r>
        <w:rPr>
          <w:rFonts w:ascii="Calibri" w:hAnsi="Calibri"/>
          <w:b/>
          <w:color w:val="2B2B2B"/>
          <w:sz w:val="22"/>
        </w:rPr>
        <w:t>documento</w:t>
      </w:r>
      <w:r>
        <w:rPr>
          <w:rFonts w:ascii="Calibri" w:hAnsi="Calibri"/>
          <w:b w:val="0"/>
          <w:color w:val="2B2B2B"/>
          <w:sz w:val="22"/>
        </w:rPr>
        <w:t xml:space="preserve">, no de la sustentación, y así hay que decirlo si sale el tema. Después, la fidelidad: la pregunta de investigación de la diapositiva 3 es la de la p. 15; los cuatro objetivos específicos de la 4 son los de la p. 16; las cifras de contexto de las 3 y 7 —99 % de las empresas, 80 % del empleo formal, 51,5 % de CINTEL, 42 % de microempresas, 63 % de medianas— están en las pp. 14, 19 y 21; y hasta el «AWS» que la diapositiva 8 lista entre los conceptos del estudio sale del documento (pp. 26, 28). Y una omisión que juega a su favor: el mazo </w:t>
      </w:r>
      <w:r>
        <w:rPr>
          <w:rFonts w:ascii="Calibri" w:hAnsi="Calibri"/>
          <w:b/>
          <w:color w:val="2B2B2B"/>
          <w:sz w:val="22"/>
        </w:rPr>
        <w:t>no reclama</w:t>
      </w:r>
      <w:r>
        <w:rPr>
          <w:rFonts w:ascii="Calibri" w:hAnsi="Calibri"/>
          <w:b w:val="0"/>
          <w:color w:val="2B2B2B"/>
          <w:sz w:val="22"/>
        </w:rPr>
        <w:t xml:space="preserve"> el componente cualitativo —«cualitativo» da cero coincidencias—, así que no sobrevende el diseño mixto.</w:t>
      </w:r>
    </w:p>
    <w:p>
      <w:r>
        <w:rPr>
          <w:rFonts w:ascii="Calibri" w:hAnsi="Calibri"/>
          <w:b/>
          <w:color w:val="2B2B2B"/>
          <w:sz w:val="22"/>
        </w:rPr>
        <w:t>Forma del mazo (no se pregunta en sala):</w:t>
      </w:r>
      <w:r>
        <w:rPr>
          <w:rFonts w:ascii="Calibri" w:hAnsi="Calibri"/>
          <w:b w:val="0"/>
          <w:color w:val="2B2B2B"/>
          <w:sz w:val="22"/>
        </w:rPr>
        <w:t xml:space="preserve"> «Diagnostico» sin tilde en el título de la diapositiva 1 —el mismo título que el cronograma trae con tres erratas—; «Marco Teorico» sin tilde (diap. 7); «Los conceptos mas relevantes» (diap. 8); paréntesis de cita sin cerrar en «(MinTIC], 2020.» (diap. 2) y en «(DANE, 2023.» (diap. 7); «[CIPE &amp; iNNpulsa] , 2024;» con corchetes, espacio y punto y coma (diap. 3); un punto suelto abriendo la diapositiva 17; «Digital Model de Gartner» donde el documento dice Digital Maturity Model (p. 23). Cuatro de las 19 diapositivas son portadillas de una línea (9, 12, 13, 19).</w:t>
      </w:r>
    </w:p>
    <w:p>
      <w:pPr>
        <w:spacing w:before="200" w:after="60"/>
      </w:pPr>
      <w:r>
        <w:rPr>
          <w:rFonts w:ascii="Calibri" w:hAnsi="Calibri"/>
          <w:b/>
          <w:color w:val="007433"/>
          <w:sz w:val="32"/>
        </w:rPr>
        <w:t>Qué mirar en pantalla mientras exponen</w:t>
      </w:r>
    </w:p>
    <w:p>
      <w:pPr>
        <w:pStyle w:val="ListBullet"/>
      </w:pPr>
      <w:r>
        <w:rPr>
          <w:rFonts w:ascii="Calibri" w:hAnsi="Calibri"/>
          <w:b/>
          <w:color w:val="2B2B2B"/>
          <w:sz w:val="22"/>
        </w:rPr>
        <w:t>Si dicen alguna de las tres cifras de cierre:</w:t>
      </w:r>
      <w:r>
        <w:rPr>
          <w:rFonts w:ascii="Calibri" w:hAnsi="Calibri"/>
          <w:b w:val="0"/>
          <w:color w:val="2B2B2B"/>
          <w:sz w:val="22"/>
        </w:rPr>
        <w:t xml:space="preserve"> el 71 % del índice ponderado, el 2,54 de promedio y el coeficiente de correlación. Ninguna está en el mazo; si no se dicen, las tres preguntas quedan obligadas.</w:t>
      </w:r>
    </w:p>
    <w:p>
      <w:pPr>
        <w:pStyle w:val="ListBullet"/>
      </w:pPr>
      <w:r>
        <w:rPr>
          <w:rFonts w:ascii="Calibri" w:hAnsi="Calibri"/>
          <w:b/>
          <w:color w:val="2B2B2B"/>
          <w:sz w:val="22"/>
        </w:rPr>
        <w:t>La diapositiva 15.</w:t>
      </w:r>
      <w:r>
        <w:rPr>
          <w:rFonts w:ascii="Calibri" w:hAnsi="Calibri"/>
          <w:b w:val="0"/>
          <w:color w:val="2B2B2B"/>
          <w:sz w:val="22"/>
        </w:rPr>
        <w:t xml:space="preserve"> Si leen la columna «Puntaje madurez» —100, 67, 33— y si explican qué son. Ahí entra la </w:t>
      </w:r>
      <w:r>
        <w:rPr>
          <w:rFonts w:ascii="Calibri" w:hAnsi="Calibri"/>
          <w:b/>
          <w:color w:val="2B2B2B"/>
          <w:sz w:val="22"/>
        </w:rPr>
        <w:t>pregunta 1</w:t>
      </w:r>
      <w:r>
        <w:rPr>
          <w:rFonts w:ascii="Calibri" w:hAnsi="Calibri"/>
          <w:b w:val="0"/>
          <w:color w:val="2B2B2B"/>
          <w:sz w:val="22"/>
        </w:rPr>
        <w:t xml:space="preserve"> señalando la pantalla.</w:t>
      </w:r>
    </w:p>
    <w:p>
      <w:pPr>
        <w:pStyle w:val="ListBullet"/>
      </w:pPr>
      <w:r>
        <w:rPr>
          <w:rFonts w:ascii="Calibri" w:hAnsi="Calibri"/>
          <w:b/>
          <w:color w:val="2B2B2B"/>
          <w:sz w:val="22"/>
        </w:rPr>
        <w:t>La diapositiva 16.</w:t>
      </w:r>
      <w:r>
        <w:rPr>
          <w:rFonts w:ascii="Calibri" w:hAnsi="Calibri"/>
          <w:b w:val="0"/>
          <w:color w:val="2B2B2B"/>
          <w:sz w:val="22"/>
        </w:rPr>
        <w:t xml:space="preserve"> Si el «001» se lee en voz alta o se salta, y si alguien nombra el promedio con cifra. Y si dicen «Inicial y Básico» sin advertir que su distribución certificada no tiene nivel Básico.</w:t>
      </w:r>
    </w:p>
    <w:p>
      <w:pPr>
        <w:pStyle w:val="ListBullet"/>
      </w:pPr>
      <w:r>
        <w:rPr>
          <w:rFonts w:ascii="Calibri" w:hAnsi="Calibri"/>
          <w:b/>
          <w:color w:val="2B2B2B"/>
          <w:sz w:val="22"/>
        </w:rPr>
        <w:t>La diapositiva 14.</w:t>
      </w:r>
      <w:r>
        <w:rPr>
          <w:rFonts w:ascii="Calibri" w:hAnsi="Calibri"/>
          <w:b w:val="0"/>
          <w:color w:val="2B2B2B"/>
          <w:sz w:val="22"/>
        </w:rPr>
        <w:t xml:space="preserve"> Si presentan esos «OK» como validación del prototipo o como consistencia de los datos. Es la diferencia entre haber probado el software y haber contado las filas.</w:t>
      </w:r>
    </w:p>
    <w:p>
      <w:pPr>
        <w:pStyle w:val="ListBullet"/>
      </w:pPr>
      <w:r>
        <w:rPr>
          <w:rFonts w:ascii="Calibri" w:hAnsi="Calibri"/>
          <w:b/>
          <w:color w:val="2B2B2B"/>
          <w:sz w:val="22"/>
        </w:rPr>
        <w:t>La diapositiva 12.</w:t>
      </w:r>
      <w:r>
        <w:rPr>
          <w:rFonts w:ascii="Calibri" w:hAnsi="Calibri"/>
          <w:b w:val="0"/>
          <w:color w:val="2B2B2B"/>
          <w:sz w:val="22"/>
        </w:rPr>
        <w:t xml:space="preserve"> Si abren el prototipo en vivo o se quedan en la única captura. De esto depende toda la condicional de la §7 sobre el objetivo 3.</w:t>
      </w:r>
    </w:p>
    <w:p>
      <w:pPr>
        <w:pStyle w:val="ListBullet"/>
      </w:pPr>
      <w:r>
        <w:rPr>
          <w:rFonts w:ascii="Calibri" w:hAnsi="Calibri"/>
          <w:b/>
          <w:color w:val="2B2B2B"/>
          <w:sz w:val="22"/>
        </w:rPr>
        <w:t>La diapositiva 10.</w:t>
      </w:r>
      <w:r>
        <w:rPr>
          <w:rFonts w:ascii="Calibri" w:hAnsi="Calibri"/>
          <w:b w:val="0"/>
          <w:color w:val="2B2B2B"/>
          <w:sz w:val="22"/>
        </w:rPr>
        <w:t xml:space="preserve"> Si presentan el paso 8 —implementación y seguimiento— como algo ejecutado. Su propio alcance lo excluye, dos diapositivas antes.</w:t>
      </w:r>
    </w:p>
    <w:p>
      <w:pPr>
        <w:pStyle w:val="ListBullet"/>
      </w:pPr>
      <w:r>
        <w:rPr>
          <w:rFonts w:ascii="Calibri" w:hAnsi="Calibri"/>
          <w:b/>
          <w:color w:val="2B2B2B"/>
          <w:sz w:val="22"/>
        </w:rPr>
        <w:t>Si dicen «entrevistas», «visitas» o «acompañamiento».</w:t>
      </w:r>
      <w:r>
        <w:rPr>
          <w:rFonts w:ascii="Calibri" w:hAnsi="Calibri"/>
          <w:b w:val="0"/>
          <w:color w:val="2B2B2B"/>
          <w:sz w:val="22"/>
        </w:rPr>
        <w:t xml:space="preserve"> El mazo solo las proyecta en condicional (paso 7); cualquier afirmación en pasado es la </w:t>
      </w:r>
      <w:r>
        <w:rPr>
          <w:rFonts w:ascii="Calibri" w:hAnsi="Calibri"/>
          <w:b/>
          <w:color w:val="2B2B2B"/>
          <w:sz w:val="22"/>
        </w:rPr>
        <w:t>pregunta 3</w:t>
      </w:r>
      <w:r>
        <w:rPr>
          <w:rFonts w:ascii="Calibri" w:hAnsi="Calibri"/>
          <w:b w:val="0"/>
          <w:color w:val="2B2B2B"/>
          <w:sz w:val="22"/>
        </w:rPr>
        <w:t>.</w:t>
      </w:r>
    </w:p>
    <w:p>
      <w:pPr>
        <w:pStyle w:val="ListBullet"/>
      </w:pPr>
      <w:r>
        <w:rPr>
          <w:rFonts w:ascii="Calibri" w:hAnsi="Calibri"/>
          <w:b/>
          <w:color w:val="2B2B2B"/>
          <w:sz w:val="22"/>
        </w:rPr>
        <w:t>Si nombran de dónde salieron las 30 empresas.</w:t>
      </w:r>
      <w:r>
        <w:rPr>
          <w:rFonts w:ascii="Calibri" w:hAnsi="Calibri"/>
          <w:b w:val="0"/>
          <w:color w:val="2B2B2B"/>
          <w:sz w:val="22"/>
        </w:rPr>
        <w:t xml:space="preserve"> Si dicen «MiPymes Innovadoras» o «banco de elegibles» por su cuenta, se les reconoce: es la limitación más honesta que tienen y no está en el mazo.</w:t>
      </w:r>
    </w:p>
    <w:p>
      <w:pPr>
        <w:pStyle w:val="ListBullet"/>
      </w:pPr>
      <w:r>
        <w:rPr>
          <w:rFonts w:ascii="Calibri" w:hAnsi="Calibri"/>
          <w:b/>
          <w:color w:val="2B2B2B"/>
          <w:sz w:val="22"/>
        </w:rPr>
        <w:t>Quién habla de qué.</w:t>
      </w:r>
      <w:r>
        <w:rPr>
          <w:rFonts w:ascii="Calibri" w:hAnsi="Calibri"/>
          <w:b w:val="0"/>
          <w:color w:val="2B2B2B"/>
          <w:sz w:val="22"/>
        </w:rPr>
        <w:t xml:space="preserve"> Son dos integrantes y la §7 depende de esto: si habla uno solo, pedirle al otro la regla de cálculo (pp. 36-37) o el modelo de datos (pp. 58, 75).</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De dónde sale el 71 %.</w:t>
      </w:r>
    </w:p>
    <w:p>
      <w:pPr>
        <w:ind w:left="432"/>
        <w:shd w:val="clear" w:fill="E8F5EC"/>
      </w:pPr>
      <w:r>
        <w:rPr>
          <w:rFonts w:ascii="Calibri" w:hAnsi="Calibri"/>
          <w:b w:val="0"/>
          <w:i/>
          <w:color w:val="2B2B2B"/>
          <w:sz w:val="21"/>
        </w:rPr>
        <w:t>«En la página 78 el índice de madurez ponderado da 71 por ciento, y la Tabla 8 de esa misma página asigna 100, 67 y 33 puntos de madurez a los niveles avanzado, intermedio e inicial-intermedio. Con esos tres números el 71 sale exacto; con el promedio de la página 81, 2,54 sobre 4, sale 63,5. Dígame de dónde salen esos tres puntajes. Si el 71 pondera etiquetas de nivel y no respuestas, dígalo con esas palabras.»</w:t>
      </w:r>
    </w:p>
    <w:p>
      <w:pPr>
        <w:pStyle w:val="ListBullet"/>
      </w:pPr>
      <w:r>
        <w:rPr>
          <w:rFonts w:ascii="Calibri" w:hAnsi="Calibri"/>
          <w:i/>
          <w:color w:val="2B2B2B"/>
          <w:sz w:val="22"/>
        </w:rPr>
        <w:t>Sale de:</w:t>
      </w:r>
      <w:r>
        <w:rPr>
          <w:rFonts w:ascii="Calibri" w:hAnsi="Calibri"/>
          <w:b w:val="0"/>
          <w:color w:val="2B2B2B"/>
          <w:sz w:val="22"/>
        </w:rPr>
        <w:t xml:space="preserve"> </w:t>
      </w:r>
      <w:r>
        <w:rPr>
          <w:rFonts w:ascii="Calibri" w:hAnsi="Calibri"/>
          <w:b/>
          <w:color w:val="2B2B2B"/>
          <w:sz w:val="22"/>
        </w:rPr>
        <w:t>del documento</w:t>
      </w:r>
      <w:r>
        <w:rPr>
          <w:rFonts w:ascii="Calibri" w:hAnsi="Calibri"/>
          <w:b w:val="0"/>
          <w:color w:val="2B2B2B"/>
          <w:sz w:val="22"/>
        </w:rPr>
        <w:t>, y es aritmética exacta: las pp. 78, 81 y 47. De las diapositivas sale su mejor soporte visual —la 15 proyecta la Tabla 8 entera, con los 100 / 67 / 33 y su gráfico de barras, y saca de ella la conclusión en la misma pantalla (§5, punto 4)—, pero el 71 % no aparece en ninguna diapositiva (§5, punto 5). Se puede hacer señalando la pantalla y pidiendo el número que falta.</w:t>
      </w:r>
    </w:p>
    <w:p>
      <w:pPr>
        <w:pStyle w:val="ListBullet"/>
      </w:pPr>
      <w:r>
        <w:rPr>
          <w:rFonts w:ascii="Calibri" w:hAnsi="Calibri"/>
          <w:i/>
          <w:color w:val="2B2B2B"/>
          <w:sz w:val="22"/>
        </w:rPr>
        <w:t>Por qué:</w:t>
      </w:r>
      <w:r>
        <w:rPr>
          <w:rFonts w:ascii="Calibri" w:hAnsi="Calibri"/>
          <w:b w:val="0"/>
          <w:color w:val="2B2B2B"/>
          <w:sz w:val="22"/>
        </w:rPr>
        <w:t xml:space="preserve"> la p. 78 imprime el valor crudo «0,711333333» al lado del 71 %, y (12 × 100 + 10 × 67 + 8 × 33) / 3000 = 0,7113333: el indicador que cierra el diagnóstico sale de las etiquetas de nivel de la Tabla 8, no de las encuestas. La media real de las 30 empresas es 2,54 (p. 81), verificable sumando las 30 filas de la p. 47 (76,3 / 30 = 2,5433), o sea 63,5 % del máximo 4 que ellos mismos usan para calcular brechas (p. 82). La diapositiva 15 proyecta la Tabla 8 completa, con gráfico de barras de los 100 / 67 / 33 incluido, pero el 71 % no aparece en ninguna diapositiva: la exposición no lo explica sola. La premisa es aritmética exacta, no interpretación.</w:t>
      </w:r>
    </w:p>
    <w:p>
      <w:pPr>
        <w:pStyle w:val="ListBullet"/>
      </w:pPr>
      <w:r>
        <w:rPr>
          <w:rFonts w:ascii="Calibri" w:hAnsi="Calibri"/>
          <w:i/>
          <w:color w:val="2B2B2B"/>
          <w:sz w:val="22"/>
        </w:rPr>
        <w:t>Qué la resuelve:</w:t>
      </w:r>
      <w:r>
        <w:rPr>
          <w:rFonts w:ascii="Calibri" w:hAnsi="Calibri"/>
          <w:b w:val="0"/>
          <w:color w:val="2B2B2B"/>
          <w:sz w:val="22"/>
        </w:rPr>
        <w:t xml:space="preserve"> nombran la fuente de los 100/67/33 —una referencia metodológica concreta o, honestamente, una decisión propia del equipo declarada como tal— y reconocen que el 71 % pondera etiquetas de nivel y no respuestas. Mejor aún: dan el valor recalculado con la p. 47, 63,5 %, y dicen cuál de los dos reportan como resultado del diagnóstico.</w:t>
      </w:r>
    </w:p>
    <w:p>
      <w:pPr>
        <w:pStyle w:val="ListBullet"/>
      </w:pPr>
      <w:r>
        <w:rPr>
          <w:rFonts w:ascii="Calibri" w:hAnsi="Calibri"/>
          <w:i/>
          <w:color w:val="2B2B2B"/>
          <w:sz w:val="22"/>
        </w:rPr>
        <w:t>Qué la agrava:</w:t>
      </w:r>
      <w:r>
        <w:rPr>
          <w:rFonts w:ascii="Calibri" w:hAnsi="Calibri"/>
          <w:b w:val="0"/>
          <w:color w:val="2B2B2B"/>
          <w:sz w:val="22"/>
        </w:rPr>
        <w:t xml:space="preserve"> responder «lo calcula el sistema» o «es un promedio ponderado estándar» sin señalar página; sostener que el 71 % sale de las 30 encuestas; atribuir los 100/67/33 al DMM de Gartner (p. 23) sin poder mostrar dónde; o no advertir que el 12/10/8 con que se pondera es la segmentación por ecosistema de la p. 76 y no el recuento de niveles de la p. 80 (13/1/6/10).</w:t>
      </w:r>
    </w:p>
    <w:p>
      <w:r>
        <w:rPr>
          <w:rFonts w:ascii="Calibri" w:hAnsi="Calibri"/>
          <w:b/>
          <w:color w:val="2B2B2B"/>
          <w:sz w:val="22"/>
        </w:rPr>
        <w:t>2. El nivel de Lyrical Records.</w:t>
      </w:r>
    </w:p>
    <w:p>
      <w:pPr>
        <w:ind w:left="432"/>
        <w:shd w:val="clear" w:fill="E8F5EC"/>
      </w:pPr>
      <w:r>
        <w:rPr>
          <w:rFonts w:ascii="Calibri" w:hAnsi="Calibri"/>
          <w:b w:val="0"/>
          <w:i/>
          <w:color w:val="2B2B2B"/>
          <w:sz w:val="21"/>
        </w:rPr>
        <w:t>«Lyrical Records aparece como Avanzado, con 3,80, en la Tabla 12 de la página 83 y en los puntajes de la página 47; en la Tabla 14, en su fila de la página 86, aparece como Intermedio. Es la única de las trece avanzadas que cambia, y por eso la Tabla 14 da doce. Dígame cuál de los dos niveles es el de esa empresa y con qué puntaje. Si fue un error al transcribir, basta decirlo.»</w:t>
      </w:r>
    </w:p>
    <w:p>
      <w:pPr>
        <w:pStyle w:val="ListBullet"/>
      </w:pPr>
      <w:r>
        <w:rPr>
          <w:rFonts w:ascii="Calibri" w:hAnsi="Calibri"/>
          <w:i/>
          <w:color w:val="2B2B2B"/>
          <w:sz w:val="22"/>
        </w:rPr>
        <w:t>Sale de:</w:t>
      </w:r>
      <w:r>
        <w:rPr>
          <w:rFonts w:ascii="Calibri" w:hAnsi="Calibri"/>
          <w:b w:val="0"/>
          <w:color w:val="2B2B2B"/>
          <w:sz w:val="22"/>
        </w:rPr>
        <w:t xml:space="preserve"> </w:t>
      </w:r>
      <w:r>
        <w:rPr>
          <w:rFonts w:ascii="Calibri" w:hAnsi="Calibri"/>
          <w:b/>
          <w:color w:val="2B2B2B"/>
          <w:sz w:val="22"/>
        </w:rPr>
        <w:t>entera del documento</w:t>
      </w:r>
      <w:r>
        <w:rPr>
          <w:rFonts w:ascii="Calibri" w:hAnsi="Calibri"/>
          <w:b w:val="0"/>
          <w:color w:val="2B2B2B"/>
          <w:sz w:val="22"/>
        </w:rPr>
        <w:t>: la fila de Lyrical Records en las pp. 47, 83 y 86. De las diapositivas no sale la fila —ninguna proyecta la Tabla 14 y ninguna nombra una empresa, lo cual es un acierto suyo (§5, punto 14)—, pero sí sale el marco: las 14 y 15 certifican el 12/10/8 con un «OK» y la 16 deja escapar «Inicial y Básico», que es vocabulario de la otra tabla (§5, punto 3). Esta hay que hacerla con el documento, con la p. 86 marcada.</w:t>
      </w:r>
    </w:p>
    <w:p>
      <w:pPr>
        <w:pStyle w:val="ListBullet"/>
      </w:pPr>
      <w:r>
        <w:rPr>
          <w:rFonts w:ascii="Calibri" w:hAnsi="Calibri"/>
          <w:i/>
          <w:color w:val="2B2B2B"/>
          <w:sz w:val="22"/>
        </w:rPr>
        <w:t>Por qué:</w:t>
      </w:r>
      <w:r>
        <w:rPr>
          <w:rFonts w:ascii="Calibri" w:hAnsi="Calibri"/>
          <w:b w:val="0"/>
          <w:color w:val="2B2B2B"/>
          <w:sz w:val="22"/>
        </w:rPr>
        <w:t xml:space="preserve"> verificado fila por fila. De las 13 avanzadas de las pp. 47 y 83, la Tabla 14 (que arranca en la p. 85 y sigue hasta la 87) conserva 12 y mueve solo a Lyrical Records —3,80, el segundo puntaje más alto de la muestra— al segmento Intermedio. Es la fila exacta que explica el 13 contra el 12, con nombre propio y con el puntaje impreso al lado, así que no es «hay dos distribuciones» sino una empresa que cambia de nivel dentro del mismo capítulo. Cuidado con la salida por sector: en la Tabla 14 la columna «Nivel» va pegada a «Ecosistema» (Avanzado ↔ Tech y Nativos Digitales, Intermedio ↔ Servicios/Creativas/Salud) y Lyrical Records es una disquera, pero el encabezado de la p. 85 dice lo contrario, «el riesgo, ecosistema y prioridad se asignan según el nivel de madurez digital de cada empresa».</w:t>
      </w:r>
    </w:p>
    <w:p>
      <w:pPr>
        <w:pStyle w:val="ListBullet"/>
      </w:pPr>
      <w:r>
        <w:rPr>
          <w:rFonts w:ascii="Calibri" w:hAnsi="Calibri"/>
          <w:i/>
          <w:color w:val="2B2B2B"/>
          <w:sz w:val="22"/>
        </w:rPr>
        <w:t>Qué la resuelve:</w:t>
      </w:r>
      <w:r>
        <w:rPr>
          <w:rFonts w:ascii="Calibri" w:hAnsi="Calibri"/>
          <w:b w:val="0"/>
          <w:color w:val="2B2B2B"/>
          <w:sz w:val="22"/>
        </w:rPr>
        <w:t xml:space="preserve"> señalan el dato fuente —la fila de la p. 47 con 3,80— y aceptan que la Tabla 14 quedó mal transcrita, con el recuento corregido dicho en voz alta; o explican que la Tabla 14 clasifica por segmento de ecosistema y no por puntaje, y dicen entonces cuál de los dos recuentos es el resultado del objetivo 2.</w:t>
      </w:r>
    </w:p>
    <w:p>
      <w:pPr>
        <w:pStyle w:val="ListBullet"/>
      </w:pPr>
      <w:r>
        <w:rPr>
          <w:rFonts w:ascii="Calibri" w:hAnsi="Calibri"/>
          <w:i/>
          <w:color w:val="2B2B2B"/>
          <w:sz w:val="22"/>
        </w:rPr>
        <w:t>Qué la agrava:</w:t>
      </w:r>
      <w:r>
        <w:rPr>
          <w:rFonts w:ascii="Calibri" w:hAnsi="Calibri"/>
          <w:b w:val="0"/>
          <w:color w:val="2B2B2B"/>
          <w:sz w:val="22"/>
        </w:rPr>
        <w:t xml:space="preserve"> decir «lo asigna la herramienta» sin mostrar la regla; sostener 13 avanzadas cuando la Tabla 14 da 12; invocar el sector sin advertir que eso contradice la nota de su propia p. 85; o dejar sin explicar que la p. 88 rotula «empresas avanzadas 13» como indicador del objetivo 2 mientras la p. 79 certifica «OK» el 12/10/8.</w:t>
      </w:r>
    </w:p>
    <w:p>
      <w:r>
        <w:rPr>
          <w:rFonts w:ascii="Calibri" w:hAnsi="Calibri"/>
          <w:b/>
          <w:color w:val="2B2B2B"/>
          <w:sz w:val="22"/>
        </w:rPr>
        <w:t>3. Las diez entrevistas de la Tabla 1.</w:t>
      </w:r>
    </w:p>
    <w:p>
      <w:pPr>
        <w:ind w:left="432"/>
        <w:shd w:val="clear" w:fill="E8F5EC"/>
      </w:pPr>
      <w:r>
        <w:rPr>
          <w:rFonts w:ascii="Calibri" w:hAnsi="Calibri"/>
          <w:b w:val="0"/>
          <w:i/>
          <w:color w:val="2B2B2B"/>
          <w:sz w:val="21"/>
        </w:rPr>
        <w:t>«La Tabla 1, página 30, declara veinte pymes piloto y, en la fase Reflexionar, datos de veinte pymes más diez entrevistas. La página 33 habla de pruebas piloto con treinta empresas, y en la página 76 las entrevistas quedan en condicional. Dígame cuántas de esas diez entrevistas se realizaron y con qué cargos. Si no se hizo ninguna, dígalo con esas palabras.»</w:t>
      </w:r>
    </w:p>
    <w:p>
      <w:pPr>
        <w:pStyle w:val="ListBullet"/>
      </w:pPr>
      <w:r>
        <w:rPr>
          <w:rFonts w:ascii="Calibri" w:hAnsi="Calibri"/>
          <w:i/>
          <w:color w:val="2B2B2B"/>
          <w:sz w:val="22"/>
        </w:rPr>
        <w:t>Sale de:</w:t>
      </w:r>
      <w:r>
        <w:rPr>
          <w:rFonts w:ascii="Calibri" w:hAnsi="Calibri"/>
          <w:b w:val="0"/>
          <w:color w:val="2B2B2B"/>
          <w:sz w:val="22"/>
        </w:rPr>
        <w:t xml:space="preserve"> del documento el hueco —pp. 30, 76, 32-33 y 77— y de las diapositivas dos piezas que lo dejan a la vista: el paso 7 del diagrama de la 10 proyecta la validación complementaria con entrevistas semiestructuradas en condicional (§5, punto 9) y la 6 imprime las dos muestras en el mismo cuadro (§5, punto 8). Crédito que hay que reconocer si sale el tema: el mazo </w:t>
      </w:r>
      <w:r>
        <w:rPr>
          <w:rFonts w:ascii="Calibri" w:hAnsi="Calibri"/>
          <w:b/>
          <w:color w:val="2B2B2B"/>
          <w:sz w:val="22"/>
        </w:rPr>
        <w:t>no reclama</w:t>
      </w:r>
      <w:r>
        <w:rPr>
          <w:rFonts w:ascii="Calibri" w:hAnsi="Calibri"/>
          <w:b w:val="0"/>
          <w:color w:val="2B2B2B"/>
          <w:sz w:val="22"/>
        </w:rPr>
        <w:t xml:space="preserve"> el componente cualitativo (§5, punto 14).</w:t>
      </w:r>
    </w:p>
    <w:p>
      <w:pPr>
        <w:pStyle w:val="ListBullet"/>
      </w:pPr>
      <w:r>
        <w:rPr>
          <w:rFonts w:ascii="Calibri" w:hAnsi="Calibri"/>
          <w:i/>
          <w:color w:val="2B2B2B"/>
          <w:sz w:val="22"/>
        </w:rPr>
        <w:t>Por qué:</w:t>
      </w:r>
      <w:r>
        <w:rPr>
          <w:rFonts w:ascii="Calibri" w:hAnsi="Calibri"/>
          <w:b w:val="0"/>
          <w:color w:val="2B2B2B"/>
          <w:sz w:val="22"/>
        </w:rPr>
        <w:t xml:space="preserve"> la muestra de la metodología no es la del campo y el componente cualitativo prometido no se reporta. La palabra «entrevista» aparece en exactamente dos páginas de las 94 —la p. 30 («Datos de 20 PYMES + 10 entrevistas») y la p. 76 («en caso de que se requiera información adicional se aplicarán…»)— y no hay ninguna reportada, mientras las pp. 32-33 declaran enfoque cuantitativo y cualitativo y la p. 77 habla de «información cuantitativa como cualitativa». La diapositiva 10 proyecta la validación complementaria en condicional y la diapositiva 6 imprime «al menos 20 PYMES bogotanas» y «la validación piloto (30 empresas)» en el mismo cuadro: van a proyectar la incoherencia sin nombrarla. De paso, la p. 30 lista cuatro fases y la p. 31 dice tres.</w:t>
      </w:r>
    </w:p>
    <w:p>
      <w:pPr>
        <w:pStyle w:val="ListBullet"/>
      </w:pPr>
      <w:r>
        <w:rPr>
          <w:rFonts w:ascii="Calibri" w:hAnsi="Calibri"/>
          <w:i/>
          <w:color w:val="2B2B2B"/>
          <w:sz w:val="22"/>
        </w:rPr>
        <w:t>Qué la resuelve:</w:t>
      </w:r>
      <w:r>
        <w:rPr>
          <w:rFonts w:ascii="Calibri" w:hAnsi="Calibri"/>
          <w:b w:val="0"/>
          <w:color w:val="2B2B2B"/>
          <w:sz w:val="22"/>
        </w:rPr>
        <w:t xml:space="preserve"> un número dicho sin rodeos —cero, si es cero— y el reconocimiento de que el estudio quedó cuantitativo, con la Tabla 1 pendiente de corregir a 30 pymes y sin entrevistas; si hubo alguna, los cargos de los entrevistados y en qué página está el registro.</w:t>
      </w:r>
    </w:p>
    <w:p>
      <w:pPr>
        <w:pStyle w:val="ListBullet"/>
      </w:pPr>
      <w:r>
        <w:rPr>
          <w:rFonts w:ascii="Calibri" w:hAnsi="Calibri"/>
          <w:i/>
          <w:color w:val="2B2B2B"/>
          <w:sz w:val="22"/>
        </w:rPr>
        <w:t>Qué la agrava:</w:t>
      </w:r>
      <w:r>
        <w:rPr>
          <w:rFonts w:ascii="Calibri" w:hAnsi="Calibri"/>
          <w:b w:val="0"/>
          <w:color w:val="2B2B2B"/>
          <w:sz w:val="22"/>
        </w:rPr>
        <w:t xml:space="preserve"> contar como entrevistas los contactos de gestión del formulario de Forms (p. 45); sostener que el diseño mixto se cumplió sin señalar un solo instrumento cualitativo; responder «20 era el mínimo» cuando la Tabla 1 dice 20 en dos filas y la p. 20 dice «al menos 30»; o no saber si el proyecto tiene tres fases o cuatro.</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«En la tabla 13 de la página 84, y también en su diapositiva 16, la correlación entre madurez digital y competitividad aparece como “001”. ¿Cuál es el coeficiente que obtuvieron, con qué prueba lo calcularon —Pearson o Spearman— y sobre qué par de variables?»</w:t>
      </w:r>
    </w:p>
    <w:p>
      <w:pPr>
        <w:pStyle w:val="ListNumber"/>
      </w:pPr>
      <w:r>
        <w:rPr>
          <w:rFonts w:ascii="Calibri" w:hAnsi="Calibri"/>
          <w:b w:val="0"/>
          <w:color w:val="2B2B2B"/>
          <w:sz w:val="22"/>
        </w:rPr>
        <w:t>«El índice de competitividad digital que reportan empresa por empresa en la tabla 12 de la página 83, ¿con qué ítems y con qué fórmula se calcula, si el cuestionario de la página 34 solo pregunta por dimensiones de madurez digital?»</w:t>
      </w:r>
    </w:p>
    <w:p>
      <w:pPr>
        <w:pStyle w:val="ListNumber"/>
      </w:pPr>
      <w:r>
        <w:rPr>
          <w:rFonts w:ascii="Calibri" w:hAnsi="Calibri"/>
          <w:b w:val="0"/>
          <w:color w:val="2B2B2B"/>
          <w:sz w:val="22"/>
        </w:rPr>
        <w:t>«En la página 79 su tabla de validación certifica “OK” la distribución de 12 avanzado, 10 intermedio y 8 inicial-intermedio; en la página 80, la tabla 10 reporta 13 avanzado, 1 intermedio, 6 básico y 10 inicial para las mismas 30 empresas. ¿Cuál de las dos clasifica el modelo que entregan, y con qué escala: 0 a 3 o 1 a 4?»</w:t>
      </w:r>
    </w:p>
    <w:p>
      <w:pPr>
        <w:spacing w:before="200" w:after="60"/>
      </w:pPr>
      <w:r>
        <w:rPr>
          <w:rFonts w:ascii="Calibri" w:hAnsi="Calibri"/>
          <w:b/>
          <w:color w:val="007433"/>
          <w:sz w:val="32"/>
        </w:rPr>
        <w:t>Banco de reserva</w:t>
      </w:r>
    </w:p>
    <w:p>
      <w:r>
        <w:rPr>
          <w:rFonts w:ascii="Calibri" w:hAnsi="Calibri"/>
          <w:b w:val="0"/>
          <w:color w:val="2B2B2B"/>
          <w:sz w:val="22"/>
        </w:rPr>
        <w:t xml:space="preserve">Los números y los títulos de la primera lista </w:t>
      </w:r>
      <w:r>
        <w:rPr>
          <w:rFonts w:ascii="Calibri" w:hAnsi="Calibri"/>
          <w:b/>
          <w:color w:val="2B2B2B"/>
          <w:sz w:val="22"/>
        </w:rPr>
        <w:t>no se cambian</w:t>
      </w:r>
      <w:r>
        <w:rPr>
          <w:rFonts w:ascii="Calibri" w:hAnsi="Calibri"/>
          <w:b w:val="0"/>
          <w:color w:val="2B2B2B"/>
          <w:sz w:val="22"/>
        </w:rPr>
        <w:t>: la §7 llama a una de estas reservas por su nombre —«el coeficiente y su n»— y la §8.1 cita sus páginas. Las de diapositivas se numeran aparte y solo tienen sentido con el mazo proyectado.</w:t>
      </w:r>
    </w:p>
    <w:p>
      <w:pPr>
        <w:spacing w:before="140" w:after="60"/>
      </w:pPr>
      <w:r>
        <w:rPr>
          <w:rFonts w:ascii="Calibri" w:hAnsi="Calibri"/>
          <w:b/>
          <w:color w:val="0C2340"/>
          <w:sz w:val="27"/>
        </w:rPr>
        <w:t>Del documento</w:t>
      </w:r>
    </w:p>
    <w:p>
      <w:pPr>
        <w:pStyle w:val="ListBullet"/>
      </w:pPr>
      <w:r>
        <w:rPr>
          <w:rFonts w:ascii="Calibri" w:hAnsi="Calibri"/>
          <w:b/>
          <w:color w:val="2B2B2B"/>
          <w:sz w:val="22"/>
        </w:rPr>
        <w:t>Los seis ítems del índice.</w:t>
      </w:r>
      <w:r>
        <w:rPr>
          <w:rFonts w:ascii="Calibri" w:hAnsi="Calibri"/>
          <w:b w:val="0"/>
          <w:color w:val="2B2B2B"/>
          <w:sz w:val="22"/>
        </w:rPr>
        <w:t xml:space="preserve"> «Los treinta valores del índice de competitividad digital de la Tabla 12, página 83, son todos múltiplos exactos de un sexto: son el promedio de seis ítems en escala 1 a 4. Dígame cuáles seis ítems del cuestionario de las páginas 34 y 35 son, porque con las diez dimensiones de la página 47 no se reproducen esos treinta valores.» </w:t>
      </w:r>
      <w:r>
        <w:rPr>
          <w:rFonts w:ascii="Calibri" w:hAnsi="Calibri"/>
          <w:i/>
          <w:color w:val="2B2B2B"/>
          <w:sz w:val="22"/>
        </w:rPr>
        <w:t>(Verificado por fuerza bruta: ninguno de los 210 subconjuntos de seis de las diez dimensiones de la p. 47 reproduce los 30 valores; el mejor —nube, automatización, datos, canales digitales, ciberseguridad e innovación, casi la lista que la p. 88 recomienda «incluir»— acierta 17 de 30.)</w:t>
      </w:r>
    </w:p>
    <w:p>
      <w:pPr>
        <w:pStyle w:val="ListBullet"/>
      </w:pPr>
      <w:r>
        <w:rPr>
          <w:rFonts w:ascii="Calibri" w:hAnsi="Calibri"/>
          <w:b/>
          <w:color w:val="2B2B2B"/>
          <w:sz w:val="22"/>
        </w:rPr>
        <w:t>El coeficiente y su n.</w:t>
      </w:r>
      <w:r>
        <w:rPr>
          <w:rFonts w:ascii="Calibri" w:hAnsi="Calibri"/>
          <w:b w:val="0"/>
          <w:color w:val="2B2B2B"/>
          <w:sz w:val="22"/>
        </w:rPr>
        <w:t xml:space="preserve"> «En las páginas 53, 84 y 89, y en la diapositiva 16, la correlación aparece impresa como “001”. Dígame el coeficiente, con su n. Con las dos columnas que ustedes mismos publicaron en la página 83 da 0,98; si es ese, explíqueme por qué no es una correlación por construcción, si ambas variables se calculan de los mismos ítems y tienen casi la misma media, 2,54 y 2,55.» </w:t>
      </w:r>
      <w:r>
        <w:rPr>
          <w:rFonts w:ascii="Calibri" w:hAnsi="Calibri"/>
          <w:i/>
          <w:color w:val="2B2B2B"/>
          <w:sz w:val="22"/>
        </w:rPr>
        <w:t>(Calculado sobre sus 30 filas: Pearson 0,983, Spearman 0,973.)</w:t>
      </w:r>
    </w:p>
    <w:p>
      <w:pPr>
        <w:pStyle w:val="ListBullet"/>
      </w:pPr>
      <w:r>
        <w:rPr>
          <w:rFonts w:ascii="Calibri" w:hAnsi="Calibri"/>
          <w:b/>
          <w:color w:val="2B2B2B"/>
          <w:sz w:val="22"/>
        </w:rPr>
        <w:t>Qué escala quedó programada.</w:t>
      </w:r>
      <w:r>
        <w:rPr>
          <w:rFonts w:ascii="Calibri" w:hAnsi="Calibri"/>
          <w:b w:val="0"/>
          <w:color w:val="2B2B2B"/>
          <w:sz w:val="22"/>
        </w:rPr>
        <w:t xml:space="preserve"> «La página 36 fija de cero a tres puntos por pregunta y máximo treinta, y la página 37 los cortes 0-24, 25-49, 50-74 y 75-100. La Tabla 15, página 88, dice que las dimensiones están operacionalizadas con puntajes de uno a cuatro, y así están calculados los promedios de la página 47. Dígame qué escala está programada en el prototipo.»</w:t>
      </w:r>
    </w:p>
    <w:p>
      <w:pPr>
        <w:pStyle w:val="ListBullet"/>
      </w:pPr>
      <w:r>
        <w:rPr>
          <w:rFonts w:ascii="Calibri" w:hAnsi="Calibri"/>
          <w:b/>
          <w:color w:val="2B2B2B"/>
          <w:sz w:val="22"/>
        </w:rPr>
        <w:t>Casos de prueba ejecutados.</w:t>
      </w:r>
      <w:r>
        <w:rPr>
          <w:rFonts w:ascii="Calibri" w:hAnsi="Calibri"/>
          <w:b w:val="0"/>
          <w:color w:val="2B2B2B"/>
          <w:sz w:val="22"/>
        </w:rPr>
        <w:t xml:space="preserve"> «La página 61 declara 66 casos de prueba, 45 de prioridad alta, y fija como criterio de salida el cien por ciento de los altos ejecutados. La página 62 solo lista CP-001 a CP-006 y describe Resultado real, Evidencia y Estado como uso recomendado. Dígame cuántos casos se ejecutaron; si tiene el prototipo disponible, comparta pantalla y ejecute uno.»</w:t>
      </w:r>
    </w:p>
    <w:p>
      <w:pPr>
        <w:pStyle w:val="ListBullet"/>
      </w:pPr>
      <w:r>
        <w:rPr>
          <w:rFonts w:ascii="Calibri" w:hAnsi="Calibri"/>
          <w:b/>
          <w:color w:val="2B2B2B"/>
          <w:sz w:val="22"/>
        </w:rPr>
        <w:t>Los siete meses del dashboard.</w:t>
      </w:r>
      <w:r>
        <w:rPr>
          <w:rFonts w:ascii="Calibri" w:hAnsi="Calibri"/>
          <w:b w:val="0"/>
          <w:color w:val="2B2B2B"/>
          <w:sz w:val="22"/>
        </w:rPr>
        <w:t xml:space="preserve"> «La página 67 dice que la Figura 21, Dashboard Ejecutivo, muestra una tendencia ascendente de la madurez desde enero hasta julio de 2026. La página 45 reporta una sola aplicación del formulario a treinta empresas y la página 20 descarta el seguimiento longitudinal. Dígame de dónde salen esos siete meses de datos. Si la captura es de demostración, dígalo con esas palabras.»</w:t>
      </w:r>
    </w:p>
    <w:p>
      <w:pPr>
        <w:pStyle w:val="ListBullet"/>
      </w:pPr>
      <w:r>
        <w:rPr>
          <w:rFonts w:ascii="Calibri" w:hAnsi="Calibri"/>
          <w:b/>
          <w:color w:val="2B2B2B"/>
          <w:sz w:val="22"/>
        </w:rPr>
        <w:t>Una sola empresa por localidad.</w:t>
      </w:r>
      <w:r>
        <w:rPr>
          <w:rFonts w:ascii="Calibri" w:hAnsi="Calibri"/>
          <w:b w:val="0"/>
          <w:color w:val="2B2B2B"/>
          <w:sz w:val="22"/>
        </w:rPr>
        <w:t xml:space="preserve"> «La fila “Brechas territoriales” de la página 84, y la diapositiva 16, dan como dato soporte “Mayor: Fontibón; menor: Teusaquillo”. En la página 83, Fontibón tiene una sola empresa —con 4,00, el puntaje más alto de las treinta— y Teusaquillo también una sola. Dígame cuántas empresas hay detrás de cada una de esas dos localidades.»</w:t>
      </w:r>
    </w:p>
    <w:p>
      <w:pPr>
        <w:pStyle w:val="ListBullet"/>
      </w:pPr>
      <w:r>
        <w:rPr>
          <w:rFonts w:ascii="Calibri" w:hAnsi="Calibri"/>
          <w:b/>
          <w:color w:val="2B2B2B"/>
          <w:sz w:val="22"/>
        </w:rPr>
        <w:t>Escalable o no escalable.</w:t>
      </w:r>
      <w:r>
        <w:rPr>
          <w:rFonts w:ascii="Calibri" w:hAnsi="Calibri"/>
          <w:b w:val="0"/>
          <w:color w:val="2B2B2B"/>
          <w:sz w:val="22"/>
        </w:rPr>
        <w:t xml:space="preserve"> «La página 21 dice que el prototipo no constituye una solución escalable ni contempla soporte técnico posterior al proyecto. La página 90 y la diapositiva 17 concluyen que la propuesta es una solución práctica, escalable y replicable, y la página 89 califica el objetivo 3 como cumplido parcialmente. Dígame cuál de esas dos frases sostiene hoy ante el jurado.»</w:t>
      </w:r>
    </w:p>
    <w:p>
      <w:pPr>
        <w:pStyle w:val="ListBullet"/>
      </w:pPr>
      <w:r>
        <w:rPr>
          <w:rFonts w:ascii="Calibri" w:hAnsi="Calibri"/>
          <w:b/>
          <w:color w:val="2B2B2B"/>
          <w:sz w:val="22"/>
        </w:rPr>
        <w:t>Tres recuentos de las mismas treinta.</w:t>
      </w:r>
      <w:r>
        <w:rPr>
          <w:rFonts w:ascii="Calibri" w:hAnsi="Calibri"/>
          <w:b w:val="0"/>
          <w:color w:val="2B2B2B"/>
          <w:sz w:val="22"/>
        </w:rPr>
        <w:t xml:space="preserve"> «La Tabla 15, página 88, cierra el objetivo 2 con “empresas avanzadas 13”; la Tabla 9, página 79, certifica “OK” una distribución de doce avanzadas, diez intermedias y ocho inicial-intermedias; y la Tabla 10, página 80, reparte trece, una, seis y diez. Son tres recuentos de las mismas treinta empresas en diez páginas. Dígame cuál es el válido.»</w:t>
      </w:r>
    </w:p>
    <w:p>
      <w:pPr>
        <w:pStyle w:val="ListBullet"/>
      </w:pPr>
      <w:r>
        <w:rPr>
          <w:rFonts w:ascii="Calibri" w:hAnsi="Calibri"/>
          <w:b/>
          <w:color w:val="2B2B2B"/>
          <w:sz w:val="22"/>
        </w:rPr>
        <w:t>Datos de terceros con nombre propio.</w:t>
      </w:r>
      <w:r>
        <w:rPr>
          <w:rFonts w:ascii="Calibri" w:hAnsi="Calibri"/>
          <w:b w:val="0"/>
          <w:color w:val="2B2B2B"/>
          <w:sz w:val="22"/>
        </w:rPr>
        <w:t xml:space="preserve"> «En la página 46 cada empresa aparece con su razón social al lado de “Medidas básicas o ninguna” en seguridad, y en la página 47 varias tienen ciberseguridad en uno. Dígame con qué autorización se publican esos dos datos con nombre propio, y qué van a cambiar antes de entregar el documento a repositorio.» </w:t>
      </w:r>
      <w:r>
        <w:rPr>
          <w:rFonts w:ascii="Calibri" w:hAnsi="Calibri"/>
          <w:i/>
          <w:color w:val="2B2B2B"/>
          <w:sz w:val="22"/>
        </w:rPr>
        <w:t>(Las 30 razones sociales, con localidad, están en la p. 44.)</w:t>
      </w:r>
    </w:p>
    <w:p>
      <w:pPr>
        <w:spacing w:before="140" w:after="60"/>
      </w:pPr>
      <w:r>
        <w:rPr>
          <w:rFonts w:ascii="Calibri" w:hAnsi="Calibri"/>
          <w:b/>
          <w:color w:val="0C2340"/>
          <w:sz w:val="27"/>
        </w:rPr>
        <w:t>De las diapositivas</w:t>
      </w:r>
    </w:p>
    <w:p>
      <w:pPr>
        <w:pStyle w:val="ListBullet"/>
      </w:pPr>
      <w:r>
        <w:rPr>
          <w:rFonts w:ascii="Calibri" w:hAnsi="Calibri"/>
          <w:b/>
          <w:color w:val="2B2B2B"/>
          <w:sz w:val="22"/>
        </w:rPr>
        <w:t>El paso 8 del diagrama.</w:t>
      </w:r>
      <w:r>
        <w:rPr>
          <w:rFonts w:ascii="Calibri" w:hAnsi="Calibri"/>
          <w:b w:val="0"/>
          <w:color w:val="2B2B2B"/>
          <w:sz w:val="22"/>
        </w:rPr>
        <w:t xml:space="preserve"> «Su diapositiva 6 dice que el trabajo no incluye implementación de procesos de transformación digital ni seguimiento posterior en las empresas evaluadas, y el paso 8 del diagrama de la diapositiva 10 se llama “Implementación y seguimiento”, con acciones de intervención priorizadas y acompañamiento. Dígame si ese paso 8 se ejecutó con alguna de las treinta empresas o si es parte del modelo que propone para quien lo adopte.» </w:t>
      </w:r>
      <w:r>
        <w:rPr>
          <w:rFonts w:ascii="Calibri" w:hAnsi="Calibri"/>
          <w:i/>
          <w:color w:val="2B2B2B"/>
          <w:sz w:val="22"/>
        </w:rPr>
        <w:t>(El diagrama es del documento —pp. 43, 49, 77 y 80—, no un invento del mazo: lo que hace el mazo es poner las dos frases a cuatro diapositivas de distancia. Preguntar por la ejecución, no por la contradicción.)</w:t>
      </w:r>
    </w:p>
    <w:p>
      <w:pPr>
        <w:pStyle w:val="ListBullet"/>
      </w:pPr>
      <w:r>
        <w:rPr>
          <w:rFonts w:ascii="Calibri" w:hAnsi="Calibri"/>
          <w:b/>
          <w:color w:val="2B2B2B"/>
          <w:sz w:val="22"/>
        </w:rPr>
        <w:t>Qué se validó en la diapositiva 14.</w:t>
      </w:r>
      <w:r>
        <w:rPr>
          <w:rFonts w:ascii="Calibri" w:hAnsi="Calibri"/>
          <w:b w:val="0"/>
          <w:color w:val="2B2B2B"/>
          <w:sz w:val="22"/>
        </w:rPr>
        <w:t xml:space="preserve"> «Su diapositiva 14 se titula “pruebas realizadas de funcionamiento” y las cinco filas que certifica “OK” son el conteo de empresas, las clasificadas, la distribución por nivel, que los porcentajes sumen cien y la coherencia de prioridades. Dígame si eso valida el aplicativo o la tabulación de los datos, y dónde quedaron los sesenta y seis casos de prueba de la página 61.» </w:t>
      </w:r>
      <w:r>
        <w:rPr>
          <w:rFonts w:ascii="Calibri" w:hAnsi="Calibri"/>
          <w:i/>
          <w:color w:val="2B2B2B"/>
          <w:sz w:val="22"/>
        </w:rPr>
        <w:t>(Se solapa con la reserva «casos de prueba ejecutados»: usar esta si la diapositiva 14 está proyectada, y aquella si no llegaron a ella.)</w:t>
      </w:r>
    </w:p>
    <w:p>
      <w:pPr>
        <w:pStyle w:val="ListBullet"/>
      </w:pPr>
      <w:r>
        <w:rPr>
          <w:rFonts w:ascii="Calibri" w:hAnsi="Calibri"/>
          <w:b/>
          <w:color w:val="2B2B2B"/>
          <w:sz w:val="22"/>
        </w:rPr>
        <w:t>Los niveles Inicial y Básico de la diapositiva 16.</w:t>
      </w:r>
      <w:r>
        <w:rPr>
          <w:rFonts w:ascii="Calibri" w:hAnsi="Calibri"/>
          <w:b w:val="0"/>
          <w:color w:val="2B2B2B"/>
          <w:sz w:val="22"/>
        </w:rPr>
        <w:t xml:space="preserve"> «Sus diapositivas 14 y 15 certifican doce avanzado, diez intermedio y ocho inicial-intermedio, y la 16 concluye que persisten empresas en niveles “Inicial y Básico”. Básico no es un nivel de esa distribución: es de la tabla 10 de la página 80. Dígame cuál es la escala de niveles que entrega el modelo.» </w:t>
      </w:r>
      <w:r>
        <w:rPr>
          <w:rFonts w:ascii="Calibri" w:hAnsi="Calibri"/>
          <w:i/>
          <w:color w:val="2B2B2B"/>
          <w:sz w:val="22"/>
        </w:rPr>
        <w:t>(Es la tercera pregunta que se leyó en la sala, entrada por la pantalla en vez de por las páginas: hacer una de las dos, no las dos.)</w:t>
      </w:r>
    </w:p>
    <w:p>
      <w:pPr>
        <w:pStyle w:val="ListBullet"/>
      </w:pPr>
      <w:r>
        <w:rPr>
          <w:rFonts w:ascii="Calibri" w:hAnsi="Calibri"/>
          <w:b/>
          <w:color w:val="2B2B2B"/>
          <w:sz w:val="22"/>
        </w:rPr>
        <w:t>Los cinco niveles de Gartner.</w:t>
      </w:r>
      <w:r>
        <w:rPr>
          <w:rFonts w:ascii="Calibri" w:hAnsi="Calibri"/>
          <w:b w:val="0"/>
          <w:color w:val="2B2B2B"/>
          <w:sz w:val="22"/>
        </w:rPr>
        <w:t xml:space="preserve"> «La diapositiva 7 proyecta los cinco niveles del modelo de Gartner —inicial, gestionado, definido, cuantitativamente gestionado y optimizado—, la página 37 dice que su instrumento tiene cuatro niveles propios, y ninguna diapositiva usa esos cuatro. Dígame cómo se corresponden los cinco de Gartner con los cuatro suyos, o si Gartner queda solo como antecedente.» </w:t>
      </w:r>
      <w:r>
        <w:rPr>
          <w:rFonts w:ascii="Calibri" w:hAnsi="Calibri"/>
          <w:i/>
          <w:color w:val="2B2B2B"/>
          <w:sz w:val="22"/>
        </w:rPr>
        <w:t>(«En Desarrollo» y «Líder Digital», sus dos etiquetas propias, dan cero coincidencias en las 19 diapositivas.)</w:t>
      </w:r>
    </w:p>
    <w:p>
      <w:pPr>
        <w:pStyle w:val="ListBullet"/>
      </w:pPr>
      <w:r>
        <w:rPr>
          <w:rFonts w:ascii="Calibri" w:hAnsi="Calibri"/>
          <w:b/>
          <w:color w:val="2B2B2B"/>
          <w:sz w:val="22"/>
        </w:rPr>
        <w:t>De dónde salieron las treinta empresas.</w:t>
      </w:r>
      <w:r>
        <w:rPr>
          <w:rFonts w:ascii="Calibri" w:hAnsi="Calibri"/>
          <w:b w:val="0"/>
          <w:color w:val="2B2B2B"/>
          <w:sz w:val="22"/>
        </w:rPr>
        <w:t xml:space="preserve"> «Su diapositiva 16 dice treinta empresas encuestadas en diez localidades y ahí termina; la página 33 dice que salen del banco de elegibles de la convocatoria MiPymes Innovadoras. Dígame cómo llegaron a esas treinta y si eso explica que casi la mitad quede en nivel avanzado.» </w:t>
      </w:r>
      <w:r>
        <w:rPr>
          <w:rFonts w:ascii="Calibri" w:hAnsi="Calibri"/>
          <w:i/>
          <w:color w:val="2B2B2B"/>
          <w:sz w:val="22"/>
        </w:rPr>
        <w:t>(«MiPymes Innovadoras», «banco de elegibles», «SDDE», «ATENEA», «Distrital» y «voluntariedad» dan cero coincidencias en el mazo; de las cuatro limitaciones que proyecta la diapositiva 6, la de selección es la que falta. Si la nombran por su cuenta, se les reconoce.)</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mostraron el aplicativo funcionando en vivo</w:t>
      </w:r>
      <w:r>
        <w:rPr>
          <w:rFonts w:ascii="Calibri" w:hAnsi="Calibri"/>
          <w:b w:val="0"/>
          <w:color w:val="2B2B2B"/>
          <w:sz w:val="22"/>
        </w:rPr>
        <w:t xml:space="preserve"> → pedir un caso de frontera: «hagan una autoevaluación que caiga en 24 % o 25 %, o en 74 % o 75 %, y muéstrenme qué nivel arroja» (su propia matriz marca esas fronteras como riesgo, p. 61).</w:t>
      </w:r>
    </w:p>
    <w:p>
      <w:pPr>
        <w:pStyle w:val="ListBullet"/>
      </w:pPr>
      <w:r>
        <w:rPr>
          <w:rFonts w:ascii="Calibri" w:hAnsi="Calibri"/>
          <w:b/>
          <w:color w:val="2B2B2B"/>
          <w:sz w:val="22"/>
        </w:rPr>
        <w:t>Si NO lo mostraron funcionando y solo pasaron capturas</w:t>
      </w:r>
      <w:r>
        <w:rPr>
          <w:rFonts w:ascii="Calibri" w:hAnsi="Calibri"/>
          <w:b w:val="0"/>
          <w:color w:val="2B2B2B"/>
          <w:sz w:val="22"/>
        </w:rPr>
        <w:t xml:space="preserve"> → «¿está desplegado? ¿Qué parte del flujo —registro, autoevaluación, cálculo, dashboard, reporte personalizado— está implementada y qué parte es diseño?» (p. 89 lo declara cumplido parcialmente).</w:t>
      </w:r>
    </w:p>
    <w:p>
      <w:pPr>
        <w:pStyle w:val="ListBullet"/>
      </w:pPr>
      <w:r>
        <w:rPr>
          <w:rFonts w:ascii="Calibri" w:hAnsi="Calibri"/>
          <w:b/>
          <w:color w:val="2B2B2B"/>
          <w:sz w:val="22"/>
        </w:rPr>
        <w:t>Si dijeron un coeficiente en voz alta</w:t>
      </w:r>
      <w:r>
        <w:rPr>
          <w:rFonts w:ascii="Calibri" w:hAnsi="Calibri"/>
          <w:b w:val="0"/>
          <w:color w:val="2B2B2B"/>
          <w:sz w:val="22"/>
        </w:rPr>
        <w:t xml:space="preserve"> (p. ej. «0,95») → pedir n, prueba usada y si las dos variables son independientes entre sí; si el índice de competitividad sale de los mismos ítems de madurez, el valor alto era inevitable. Con sus propias columnas de la p. 83 da 0,98, y las dos medias son 2,54 y 2,55: es la reserva «el coeficiente y su n».</w:t>
      </w:r>
    </w:p>
    <w:p>
      <w:pPr>
        <w:pStyle w:val="ListBullet"/>
      </w:pPr>
      <w:r>
        <w:rPr>
          <w:rFonts w:ascii="Calibri" w:hAnsi="Calibri"/>
          <w:b/>
          <w:color w:val="2B2B2B"/>
          <w:sz w:val="22"/>
        </w:rPr>
        <w:t>Si dijeron «validamos el instrumento con expertos»</w:t>
      </w:r>
      <w:r>
        <w:rPr>
          <w:rFonts w:ascii="Calibri" w:hAnsi="Calibri"/>
          <w:b w:val="0"/>
          <w:color w:val="2B2B2B"/>
          <w:sz w:val="22"/>
        </w:rPr>
        <w:t xml:space="preserve"> → cuántos expertos, con qué perfil, con qué método (interjueces, V de Aiken) y qué ítems se modificaron después. En el documento solo hay correspondencia conceptual con Gartner (p. 37).</w:t>
      </w:r>
    </w:p>
    <w:p>
      <w:pPr>
        <w:pStyle w:val="ListBullet"/>
      </w:pPr>
      <w:r>
        <w:rPr>
          <w:rFonts w:ascii="Calibri" w:hAnsi="Calibri"/>
          <w:b/>
          <w:color w:val="2B2B2B"/>
          <w:sz w:val="22"/>
        </w:rPr>
        <w:t>Si presentaron la distribución 12/10/8 (diapositivas 14-15) sin mencionar la tabla 10</w:t>
      </w:r>
      <w:r>
        <w:rPr>
          <w:rFonts w:ascii="Calibri" w:hAnsi="Calibri"/>
          <w:b w:val="0"/>
          <w:color w:val="2B2B2B"/>
          <w:sz w:val="22"/>
        </w:rPr>
        <w:t xml:space="preserve"> → entrar por la </w:t>
      </w:r>
      <w:r>
        <w:rPr>
          <w:rFonts w:ascii="Calibri" w:hAnsi="Calibri"/>
          <w:b/>
          <w:color w:val="2B2B2B"/>
          <w:sz w:val="22"/>
        </w:rPr>
        <w:t>pregunta 2</w:t>
      </w:r>
      <w:r>
        <w:rPr>
          <w:rFonts w:ascii="Calibri" w:hAnsi="Calibri"/>
          <w:b w:val="0"/>
          <w:color w:val="2B2B2B"/>
          <w:sz w:val="22"/>
        </w:rPr>
        <w:t>, que aterriza la diferencia en una empresa con nombre propio (Lyrical Records, p. 86), y dejar la p. 80 para la réplica.</w:t>
      </w:r>
    </w:p>
    <w:p>
      <w:pPr>
        <w:pStyle w:val="ListBullet"/>
      </w:pPr>
      <w:r>
        <w:rPr>
          <w:rFonts w:ascii="Calibri" w:hAnsi="Calibri"/>
          <w:b/>
          <w:color w:val="2B2B2B"/>
          <w:sz w:val="22"/>
        </w:rPr>
        <w:t>Si proyectan la diapositiva 15 con la tabla de 100 / 67 / 33</w:t>
      </w:r>
      <w:r>
        <w:rPr>
          <w:rFonts w:ascii="Calibri" w:hAnsi="Calibri"/>
          <w:b w:val="0"/>
          <w:color w:val="2B2B2B"/>
          <w:sz w:val="22"/>
        </w:rPr>
        <w:t xml:space="preserve"> → es la </w:t>
      </w:r>
      <w:r>
        <w:rPr>
          <w:rFonts w:ascii="Calibri" w:hAnsi="Calibri"/>
          <w:b/>
          <w:color w:val="2B2B2B"/>
          <w:sz w:val="22"/>
        </w:rPr>
        <w:t>pregunta 1</w:t>
      </w:r>
      <w:r>
        <w:rPr>
          <w:rFonts w:ascii="Calibri" w:hAnsi="Calibri"/>
          <w:b w:val="0"/>
          <w:color w:val="2B2B2B"/>
          <w:sz w:val="22"/>
        </w:rPr>
        <w:t xml:space="preserve"> tal cual: el 71 % no está en ninguna diapositiva, así que hay que pedirlo por la p. 78.</w:t>
      </w:r>
    </w:p>
    <w:p>
      <w:pPr>
        <w:pStyle w:val="ListBullet"/>
      </w:pPr>
      <w:r>
        <w:rPr>
          <w:rFonts w:ascii="Calibri" w:hAnsi="Calibri"/>
          <w:b/>
          <w:color w:val="2B2B2B"/>
          <w:sz w:val="22"/>
        </w:rPr>
        <w:t>Si generalizan las conclusiones a «las pymes de Bogotá»</w:t>
      </w:r>
      <w:r>
        <w:rPr>
          <w:rFonts w:ascii="Calibri" w:hAnsi="Calibri"/>
          <w:b w:val="0"/>
          <w:color w:val="2B2B2B"/>
          <w:sz w:val="22"/>
        </w:rPr>
        <w:t xml:space="preserve"> → devolverles su propia limitación de la p. 20 (evidencia preliminar, sesgo de selección) y pedirles que reformulen el alcance de la conclusión en voz alta.</w:t>
      </w:r>
    </w:p>
    <w:p>
      <w:pPr>
        <w:pStyle w:val="ListBullet"/>
      </w:pPr>
      <w:r>
        <w:rPr>
          <w:rFonts w:ascii="Calibri" w:hAnsi="Calibri"/>
          <w:b/>
          <w:color w:val="2B2B2B"/>
          <w:sz w:val="22"/>
        </w:rPr>
        <w:t>Si se pasaron del tiempo y saltaron los resultados del objetivo 4</w:t>
      </w:r>
      <w:r>
        <w:rPr>
          <w:rFonts w:ascii="Calibri" w:hAnsi="Calibri"/>
          <w:b w:val="0"/>
          <w:color w:val="2B2B2B"/>
          <w:sz w:val="22"/>
        </w:rPr>
        <w:t xml:space="preserve"> → usar solo la </w:t>
      </w:r>
      <w:r>
        <w:rPr>
          <w:rFonts w:ascii="Calibri" w:hAnsi="Calibri"/>
          <w:b/>
          <w:color w:val="2B2B2B"/>
          <w:sz w:val="22"/>
        </w:rPr>
        <w:t>pregunta 1</w:t>
      </w:r>
      <w:r>
        <w:rPr>
          <w:rFonts w:ascii="Calibri" w:hAnsi="Calibri"/>
          <w:b w:val="0"/>
          <w:color w:val="2B2B2B"/>
          <w:sz w:val="22"/>
        </w:rPr>
        <w:t>, que es la más corta de las tres y toca el indicador de cierre del diagnóstico, y pasar el coeficiente a la reserva.</w:t>
      </w:r>
    </w:p>
    <w:p>
      <w:pPr>
        <w:pStyle w:val="ListBullet"/>
      </w:pPr>
      <w:r>
        <w:rPr>
          <w:rFonts w:ascii="Calibri" w:hAnsi="Calibri"/>
          <w:b/>
          <w:color w:val="2B2B2B"/>
          <w:sz w:val="22"/>
        </w:rPr>
        <w:t>Si habló solo uno de los dos</w:t>
      </w:r>
      <w:r>
        <w:rPr>
          <w:rFonts w:ascii="Calibri" w:hAnsi="Calibri"/>
          <w:b w:val="0"/>
          <w:color w:val="2B2B2B"/>
          <w:sz w:val="22"/>
        </w:rPr>
        <w:t xml:space="preserve"> → pedirle explícitamente al otro que explique una de dos cosas, según quién habló: la regla de cálculo del puntaje y del nivel (pp. 36-37) o la arquitectura y el modelo de datos (pp. 58, 75).</w:t>
      </w:r>
    </w:p>
    <w:p>
      <w:pPr>
        <w:pStyle w:val="ListBullet"/>
      </w:pPr>
      <w:r>
        <w:rPr>
          <w:rFonts w:ascii="Calibri" w:hAnsi="Calibri"/>
          <w:b/>
          <w:color w:val="2B2B2B"/>
          <w:sz w:val="22"/>
        </w:rPr>
        <w:t>Si mencionan entrevistas, visitas o acompañamiento a las empresas que no están en el documento</w:t>
      </w:r>
      <w:r>
        <w:rPr>
          <w:rFonts w:ascii="Calibri" w:hAnsi="Calibri"/>
          <w:b w:val="0"/>
          <w:color w:val="2B2B2B"/>
          <w:sz w:val="22"/>
        </w:rPr>
        <w:t xml:space="preserve"> → cuántas, cuándo y dónde quedó el registro; en el documento están en condicional (p. 76) y prometidas en la Tabla 1 (p. 30). Es la </w:t>
      </w:r>
      <w:r>
        <w:rPr>
          <w:rFonts w:ascii="Calibri" w:hAnsi="Calibri"/>
          <w:b/>
          <w:color w:val="2B2B2B"/>
          <w:sz w:val="22"/>
        </w:rPr>
        <w:t>pregunta 3</w:t>
      </w:r>
      <w:r>
        <w:rPr>
          <w:rFonts w:ascii="Calibri" w:hAnsi="Calibri"/>
          <w:b w:val="0"/>
          <w:color w:val="2B2B2B"/>
          <w:sz w:val="22"/>
        </w:rPr>
        <w:t>, y la diapositiva 10 proyecta justamente esa validación complementaria en condicional.</w:t>
      </w:r>
    </w:p>
    <w:p>
      <w:pPr>
        <w:pStyle w:val="ListBullet"/>
      </w:pPr>
      <w:r>
        <w:rPr>
          <w:rFonts w:ascii="Calibri" w:hAnsi="Calibri"/>
          <w:b/>
          <w:color w:val="2B2B2B"/>
          <w:sz w:val="22"/>
        </w:rPr>
        <w:t>Si afirman que el aplicativo ya lo usan empresas reales</w:t>
      </w:r>
      <w:r>
        <w:rPr>
          <w:rFonts w:ascii="Calibri" w:hAnsi="Calibri"/>
          <w:b w:val="0"/>
          <w:color w:val="2B2B2B"/>
          <w:sz w:val="22"/>
        </w:rPr>
        <w:t xml:space="preserve"> → cuántas se registraron por sí mismas en el aplicativo, frente a las 30 respuestas que se recogieron por Forms (p. 45).</w:t>
      </w:r>
    </w:p>
    <w:p>
      <w:pPr>
        <w:pStyle w:val="ListBullet"/>
      </w:pPr>
      <w:r>
        <w:rPr>
          <w:rFonts w:ascii="Calibri" w:hAnsi="Calibri"/>
          <w:b/>
          <w:color w:val="2B2B2B"/>
          <w:sz w:val="22"/>
        </w:rPr>
        <w:t>Si aparece en pantalla el «001» o el «003/4»</w:t>
      </w:r>
      <w:r>
        <w:rPr>
          <w:rFonts w:ascii="Calibri" w:hAnsi="Calibri"/>
          <w:b w:val="0"/>
          <w:color w:val="2B2B2B"/>
          <w:sz w:val="22"/>
        </w:rPr>
        <w:t xml:space="preserve"> (diapositiva 16) → no señalar el error en público como tal; preguntar directamente por el valor con la reserva «el coeficiente y su n», y dejar la nota de forma para la retroalimentación escrita.</w:t>
      </w:r>
    </w:p>
    <w:p>
      <w:pPr>
        <w:spacing w:before="200" w:after="60"/>
      </w:pPr>
      <w:r>
        <w:rPr>
          <w:rFonts w:ascii="Calibri" w:hAnsi="Calibri"/>
          <w:b/>
          <w:color w:val="007433"/>
          <w:sz w:val="32"/>
        </w:rPr>
        <w:t>8. Umbrales de nota (escala 0,1–5,0, cuatro criterios del jurado)</w:t>
      </w:r>
    </w:p>
    <w:p>
      <w:r>
        <w:rPr>
          <w:rFonts w:ascii="Calibri" w:hAnsi="Calibri"/>
          <w:b w:val="0"/>
          <w:color w:val="2B2B2B"/>
          <w:sz w:val="22"/>
        </w:rPr>
        <w:t xml:space="preserve">Criterios: </w:t>
      </w:r>
      <w:r>
        <w:rPr>
          <w:rFonts w:ascii="Calibri" w:hAnsi="Calibri"/>
          <w:b/>
          <w:color w:val="2B2B2B"/>
          <w:sz w:val="22"/>
        </w:rPr>
        <w:t>dominio del tema · claridad · coherencia del documento · capacidad de defensa.</w:t>
      </w:r>
    </w:p>
    <w:p>
      <w:pPr>
        <w:pStyle w:val="ListBullet"/>
      </w:pPr>
      <w:r>
        <w:rPr>
          <w:rFonts w:ascii="Calibri" w:hAnsi="Calibri"/>
          <w:b/>
          <w:color w:val="2B2B2B"/>
          <w:sz w:val="22"/>
        </w:rPr>
        <w:t>Para 4,6 o más</w:t>
      </w:r>
      <w:r>
        <w:rPr>
          <w:rFonts w:ascii="Calibri" w:hAnsi="Calibri"/>
          <w:b w:val="0"/>
          <w:color w:val="2B2B2B"/>
          <w:sz w:val="22"/>
        </w:rPr>
        <w:t xml:space="preserve"> necesito ver cuatro cosas: (a) el coeficiente de correlación con su prueba y su n; (b) la fórmula del índice de competitividad, aunque sea un proxy, dicho como proxy; (c) una explicación clara de por qué hay dos distribuciones y cuál rige el modelo; (d) el aplicativo calculando un caso en vivo. Con eso el documento se lee como un informe sólido con erratas de edición y no con huecos de fondo, y la nota alta es defendible.</w:t>
      </w:r>
    </w:p>
    <w:p>
      <w:pPr>
        <w:pStyle w:val="ListBullet"/>
      </w:pPr>
      <w:r>
        <w:rPr>
          <w:rFonts w:ascii="Calibri" w:hAnsi="Calibri"/>
          <w:b/>
          <w:color w:val="2B2B2B"/>
          <w:sz w:val="22"/>
        </w:rPr>
        <w:t>4,0–4,4</w:t>
      </w:r>
      <w:r>
        <w:rPr>
          <w:rFonts w:ascii="Calibri" w:hAnsi="Calibri"/>
          <w:b w:val="0"/>
          <w:color w:val="2B2B2B"/>
          <w:sz w:val="22"/>
        </w:rPr>
        <w:t xml:space="preserve"> si defienden bien el instrumento, el trabajo de campo con 30 empresas y el prototipo, pero el objetivo 4 sigue sin número y la contradicción entre 12/10/8 y 13/1/6/10 no se resuelve en sala. </w:t>
      </w:r>
      <w:r>
        <w:rPr>
          <w:rFonts w:ascii="Calibri" w:hAnsi="Calibri"/>
          <w:b/>
          <w:color w:val="2B2B2B"/>
          <w:sz w:val="22"/>
        </w:rPr>
        <w:t>Este es el escenario más probable a partir del documento.</w:t>
      </w:r>
      <w:r>
        <w:rPr>
          <w:rFonts w:ascii="Calibri" w:hAnsi="Calibri"/>
          <w:b w:val="0"/>
          <w:color w:val="2B2B2B"/>
          <w:sz w:val="22"/>
        </w:rPr>
        <w:t xml:space="preserve"> Tener presente que un 4,4 mío bloquea la meritoria del grupo, así que si aclaran (a) y (c) hay que subir.</w:t>
      </w:r>
    </w:p>
    <w:p>
      <w:pPr>
        <w:pStyle w:val="ListBullet"/>
      </w:pPr>
      <w:r>
        <w:rPr>
          <w:rFonts w:ascii="Calibri" w:hAnsi="Calibri"/>
          <w:b/>
          <w:color w:val="2B2B2B"/>
          <w:sz w:val="22"/>
        </w:rPr>
        <w:t>3,6–3,9</w:t>
      </w:r>
      <w:r>
        <w:rPr>
          <w:rFonts w:ascii="Calibri" w:hAnsi="Calibri"/>
          <w:b w:val="0"/>
          <w:color w:val="2B2B2B"/>
          <w:sz w:val="22"/>
        </w:rPr>
        <w:t xml:space="preserve"> si además no distinguen madurez de competitividad —es decir, si defienden la circularidad como si fuera un hallazgo— o si el prototipo solo existe en capturas y no pueden decir qué está implementado.</w:t>
      </w:r>
    </w:p>
    <w:p>
      <w:pPr>
        <w:pStyle w:val="ListBullet"/>
      </w:pPr>
      <w:r>
        <w:rPr>
          <w:rFonts w:ascii="Calibri" w:hAnsi="Calibri"/>
          <w:b/>
          <w:color w:val="2B2B2B"/>
          <w:sz w:val="22"/>
        </w:rPr>
        <w:t>3,0–3,5</w:t>
      </w:r>
      <w:r>
        <w:rPr>
          <w:rFonts w:ascii="Calibri" w:hAnsi="Calibri"/>
          <w:b w:val="0"/>
          <w:color w:val="2B2B2B"/>
          <w:sz w:val="22"/>
        </w:rPr>
        <w:t xml:space="preserve"> si leen las diapositivas, no pueden explicar la regla de cálculo del puntaje y el nivel, o atribuyen los resultados a «lo que arrojó la herramienta» sin poder describir la regla.</w:t>
      </w:r>
    </w:p>
    <w:p>
      <w:pPr>
        <w:pStyle w:val="ListBullet"/>
      </w:pPr>
      <w:r>
        <w:rPr>
          <w:rFonts w:ascii="Calibri" w:hAnsi="Calibri"/>
          <w:b/>
          <w:color w:val="2B2B2B"/>
          <w:sz w:val="22"/>
        </w:rPr>
        <w:t>Por debajo de 3,0</w:t>
      </w:r>
      <w:r>
        <w:rPr>
          <w:rFonts w:ascii="Calibri" w:hAnsi="Calibri"/>
          <w:b w:val="0"/>
          <w:color w:val="2B2B2B"/>
          <w:sz w:val="22"/>
        </w:rPr>
        <w:t xml:space="preserve"> solo ante un problema de integridad: que los datos no soporten lo afirmado o que no puedan explicar de dónde salieron los 30 registros. Nada en el documento apunta hoy en esa dirección.</w:t>
      </w:r>
    </w:p>
    <w:p>
      <w:pPr>
        <w:pStyle w:val="ListBullet"/>
      </w:pPr>
      <w:r>
        <w:rPr>
          <w:rFonts w:ascii="Calibri" w:hAnsi="Calibri"/>
          <w:b/>
          <w:color w:val="2B2B2B"/>
          <w:sz w:val="22"/>
        </w:rPr>
        <w:t>Calibración:</w:t>
      </w:r>
      <w:r>
        <w:rPr>
          <w:rFonts w:ascii="Calibri" w:hAnsi="Calibri"/>
          <w:b w:val="0"/>
          <w:color w:val="2B2B2B"/>
          <w:sz w:val="22"/>
        </w:rPr>
        <w:t xml:space="preserve"> es una especialización profesionalizante. No pesa contra ellos la falta de muestra representativa, de validación externa del instrumento ni de aporte teórico original —todo eso está declarado como limitación en las pp. 20-21—. Lo que sí pesa es que el resultado que cierra el objetivo 4 no tenga cifra y que el mismo dato se reporte de dos maneras.</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El problema es pertinente y el diseño descriptivo-propositivo es adecuado al objeto. El reparo de fondo: el alcance de la p. 19 promete la </w:t>
      </w:r>
      <w:r>
        <w:rPr>
          <w:rFonts w:ascii="Calibri" w:hAnsi="Calibri"/>
          <w:b/>
          <w:color w:val="2B2B2B"/>
          <w:sz w:val="22"/>
        </w:rPr>
        <w:t>validación</w:t>
      </w:r>
      <w:r>
        <w:rPr>
          <w:rFonts w:ascii="Calibri" w:hAnsi="Calibri"/>
          <w:b w:val="0"/>
          <w:color w:val="2B2B2B"/>
          <w:sz w:val="22"/>
        </w:rPr>
        <w:t xml:space="preserve"> del instrumento y esa validación no ocurre —el propio documento lo dice en la p. 38—, y el objetivo 3 queda autodeclarado «cumplido parcialmente» (p. 89). El planteamiento compromete más de lo que el trabajo se propone hacer.</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El referente conceptual existe (niveles de madurez, Gartner) pero </w:t>
      </w:r>
      <w:r>
        <w:rPr>
          <w:rFonts w:ascii="Calibri" w:hAnsi="Calibri"/>
          <w:b/>
          <w:color w:val="2B2B2B"/>
          <w:sz w:val="22"/>
        </w:rPr>
        <w:t>no está articulado</w:t>
      </w:r>
      <w:r>
        <w:rPr>
          <w:rFonts w:ascii="Calibri" w:hAnsi="Calibri"/>
          <w:b w:val="0"/>
          <w:color w:val="2B2B2B"/>
          <w:sz w:val="22"/>
        </w:rPr>
        <w:t>: el documento maneja a la vez una escala 0-3 del instrumento, una 1-4 de clasificación, tres segmentos y los cinco niveles de Gartner, sin una correspondencia declarada entre ellas. Y el instrumento mide madurez mientras el trabajo concluye sobre competitividad, un constructo del que no se cita literatura ni se pregunta nada (p. 34).</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Es el trabajo con el marco muestral mejor definido del cohorte: </w:t>
      </w:r>
      <w:r>
        <w:rPr>
          <w:rFonts w:ascii="Calibri" w:hAnsi="Calibri"/>
          <w:b/>
          <w:color w:val="2B2B2B"/>
          <w:sz w:val="22"/>
        </w:rPr>
        <w:t>30 pymes del banco de elegibles «MiPymes Innovadoras»</w:t>
      </w:r>
      <w:r>
        <w:rPr>
          <w:rFonts w:ascii="Calibri" w:hAnsi="Calibri"/>
          <w:b w:val="0"/>
          <w:color w:val="2B2B2B"/>
          <w:sz w:val="22"/>
        </w:rPr>
        <w:t xml:space="preserve"> (p. 33), nombradas con razón social (p. 44), en 10 localidades, con instrumento propio de 11 preguntas y puntuación 0-3 sobre máximo 30 en cuatro niveles. Cuenta a favor que </w:t>
      </w:r>
      <w:r>
        <w:rPr>
          <w:rFonts w:ascii="Calibri" w:hAnsi="Calibri"/>
          <w:b/>
          <w:color w:val="2B2B2B"/>
          <w:sz w:val="22"/>
        </w:rPr>
        <w:t>declaren</w:t>
      </w:r>
      <w:r>
        <w:rPr>
          <w:rFonts w:ascii="Calibri" w:hAnsi="Calibri"/>
          <w:b w:val="0"/>
          <w:color w:val="2B2B2B"/>
          <w:sz w:val="22"/>
        </w:rPr>
        <w:t xml:space="preserve"> que no hay alfa de Cronbach (p. 38) en vez de esconderlo. Lo que lo deja en 3: el índice de competitividad se reporta empresa por empresa (p. 83) </w:t>
      </w:r>
      <w:r>
        <w:rPr>
          <w:rFonts w:ascii="Calibri" w:hAnsi="Calibri"/>
          <w:b/>
          <w:color w:val="2B2B2B"/>
          <w:sz w:val="22"/>
        </w:rPr>
        <w:t>sin fórmula</w:t>
      </w:r>
      <w:r>
        <w:rPr>
          <w:rFonts w:ascii="Calibri" w:hAnsi="Calibri"/>
          <w:b w:val="0"/>
          <w:color w:val="2B2B2B"/>
          <w:sz w:val="22"/>
        </w:rPr>
        <w:t xml:space="preserve"> y sin que el cuestionario pregunte por competitividad.</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La sección de resultados no es interpretable tal como está impresa. El coeficiente de correlación aparece como </w:t>
      </w:r>
      <w:r>
        <w:rPr>
          <w:rFonts w:ascii="Calibri" w:hAnsi="Calibri"/>
          <w:b/>
          <w:color w:val="2B2B2B"/>
          <w:sz w:val="22"/>
        </w:rPr>
        <w:t>«001»</w:t>
      </w:r>
      <w:r>
        <w:rPr>
          <w:rFonts w:ascii="Calibri" w:hAnsi="Calibri"/>
          <w:b w:val="0"/>
          <w:color w:val="2B2B2B"/>
          <w:sz w:val="22"/>
        </w:rPr>
        <w:t xml:space="preserve"> en cuatro sitios distintos, incluida la diapositiva 16 (pp. 53, 84, 89), los promedios como «003 / 4» y las brechas como «002»: son referencias de hoja de cálculo roscas, no cifras. Hay </w:t>
      </w:r>
      <w:r>
        <w:rPr>
          <w:rFonts w:ascii="Calibri" w:hAnsi="Calibri"/>
          <w:b/>
          <w:color w:val="2B2B2B"/>
          <w:sz w:val="22"/>
        </w:rPr>
        <w:t>dos clasificaciones incompatibles de las mismas 30 empresas</w:t>
      </w:r>
      <w:r>
        <w:rPr>
          <w:rFonts w:ascii="Calibri" w:hAnsi="Calibri"/>
          <w:b w:val="0"/>
          <w:color w:val="2B2B2B"/>
          <w:sz w:val="22"/>
        </w:rPr>
        <w:t xml:space="preserve"> —12/10/8 (pp. 46, 48, 52, 76, 78, 79) y 13/1/6/10 (p. 80)—, con la tabla de la p. 79 certificando «OK» inmediatamente antes de que la p. 80 la contradiga. Y hay </w:t>
      </w:r>
      <w:r>
        <w:rPr>
          <w:rFonts w:ascii="Calibri" w:hAnsi="Calibri"/>
          <w:b/>
          <w:color w:val="2B2B2B"/>
          <w:sz w:val="22"/>
        </w:rPr>
        <w:t>circularidad</w:t>
      </w:r>
      <w:r>
        <w:rPr>
          <w:rFonts w:ascii="Calibri" w:hAnsi="Calibri"/>
          <w:b w:val="0"/>
          <w:color w:val="2B2B2B"/>
          <w:sz w:val="22"/>
        </w:rPr>
        <w:t>: competitividad esperada, riesgo, ecosistema y prioridad se asignan desde el nivel de madurez (pp. 78, 85) y después la conclusión afirma la asociación entre madurez y competitividad (pp. 79, 90). Sostiene el 2, y no el 1, el diagnóstico crudo por dimensión, que sí es usable: promedio 2,54/4, índice ponderado 71 %, canales digitales 2,07 y automatización 2,40 (pp. 78-82).</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Diagnóstico de madurez digital en pymes es tema central de la especialización, con 30 empresas reales y un instrumento propio: el aporte al ecosistema es real. No llega a 5 porque el prototipo (React + Node/Express + MySQL) no tiene URL ni repositorio y el objetivo 3 quedó parcial (p. 89).</w:t>
      </w:r>
    </w:p>
    <w:p>
      <w:r>
        <w:rPr>
          <w:rFonts w:ascii="Calibri" w:hAnsi="Calibri"/>
          <w:b/>
          <w:color w:val="2B2B2B"/>
          <w:sz w:val="22"/>
        </w:rPr>
        <w:t>Suma propuesta: 14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3</w:t>
      </w:r>
      <w:r>
        <w:rPr>
          <w:rFonts w:ascii="Calibri" w:hAnsi="Calibri"/>
          <w:b w:val="0"/>
          <w:color w:val="2B2B2B"/>
          <w:sz w:val="22"/>
        </w:rPr>
        <w:t xml:space="preserve"> si dicen el coeficiente real, con qué prueba y sobre qué par de variables (pregunta prioritaria 1) </w:t>
      </w:r>
      <w:r>
        <w:rPr>
          <w:rFonts w:ascii="Calibri" w:hAnsi="Calibri"/>
          <w:b/>
          <w:color w:val="2B2B2B"/>
          <w:sz w:val="22"/>
        </w:rPr>
        <w:t>y</w:t>
      </w:r>
      <w:r>
        <w:rPr>
          <w:rFonts w:ascii="Calibri" w:hAnsi="Calibri"/>
          <w:b w:val="0"/>
          <w:color w:val="2B2B2B"/>
          <w:sz w:val="22"/>
        </w:rPr>
        <w:t xml:space="preserve"> cuál de las dos distribuciones es la del modelo que entregan (pregunta 3). El </w:t>
      </w:r>
      <w:r>
        <w:rPr>
          <w:rFonts w:ascii="Calibri" w:hAnsi="Calibri"/>
          <w:b/>
          <w:color w:val="2B2B2B"/>
          <w:sz w:val="22"/>
        </w:rPr>
        <w:t>criterio 3 pasa a 4</w:t>
      </w:r>
      <w:r>
        <w:rPr>
          <w:rFonts w:ascii="Calibri" w:hAnsi="Calibri"/>
          <w:b w:val="0"/>
          <w:color w:val="2B2B2B"/>
          <w:sz w:val="22"/>
        </w:rPr>
        <w:t xml:space="preserve"> si dan la fórmula del índice de competitividad y de qué ítems sale (pregunta 2).</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4 baja a 1</w:t>
      </w:r>
      <w:r>
        <w:rPr>
          <w:rFonts w:ascii="Calibri" w:hAnsi="Calibri"/>
          <w:b w:val="0"/>
          <w:color w:val="2B2B2B"/>
          <w:sz w:val="22"/>
        </w:rPr>
        <w:t xml:space="preserve"> si presentan el «001» como si fuera un coeficiente, o si sostienen la asociación madurez-competitividad sin reconocer que la competitividad se derivó de la madurez. Antes de leer el título en público: el del cronograma trae tres erratas, el correcto es el de la portada (p. 1).</w:t>
      </w:r>
    </w:p>
    <w:p>
      <w:pPr>
        <w:spacing w:before="200" w:after="60"/>
      </w:pPr>
      <w:r>
        <w:rPr>
          <w:rFonts w:ascii="Calibri" w:hAnsi="Calibri"/>
          <w:b/>
          <w:color w:val="007433"/>
          <w:sz w:val="32"/>
        </w:rPr>
        <w:t>9. Observaciones administrativas (no académicas)</w:t>
      </w:r>
    </w:p>
    <w:p>
      <w:pPr>
        <w:pStyle w:val="ListBullet"/>
      </w:pPr>
      <w:r>
        <w:rPr>
          <w:rFonts w:ascii="Calibri" w:hAnsi="Calibri"/>
          <w:b/>
          <w:color w:val="2B2B2B"/>
          <w:sz w:val="22"/>
        </w:rPr>
        <w:t>El título del cronograma trae tres erratas</w:t>
      </w:r>
      <w:r>
        <w:rPr>
          <w:rFonts w:ascii="Calibri" w:hAnsi="Calibri"/>
          <w:b w:val="0"/>
          <w:color w:val="2B2B2B"/>
          <w:sz w:val="22"/>
        </w:rPr>
        <w:t xml:space="preserve"> («Diesño», «diagmnostico», «formtalecimiendo»). El título correcto es el de la portada (p. 1). Conviene pasárselo al moderador antes de leerlo en público.</w:t>
      </w:r>
    </w:p>
    <w:p>
      <w:pPr>
        <w:pStyle w:val="ListBullet"/>
      </w:pPr>
      <w:r>
        <w:rPr>
          <w:rFonts w:ascii="Calibri" w:hAnsi="Calibri"/>
          <w:b/>
          <w:color w:val="2B2B2B"/>
          <w:sz w:val="22"/>
        </w:rPr>
        <w:t>El objetivo general del cronograma está abreviado y cambia el objeto:</w:t>
      </w:r>
      <w:r>
        <w:rPr>
          <w:rFonts w:ascii="Calibri" w:hAnsi="Calibri"/>
          <w:b w:val="0"/>
          <w:color w:val="2B2B2B"/>
          <w:sz w:val="22"/>
        </w:rPr>
        <w:t xml:space="preserve"> dice «evaluar madurez digital», mientras el del documento dice «evaluar la transformación digital y su relación con la competitividad… soportado en una aplicación web» (p. 16).</w:t>
      </w:r>
    </w:p>
    <w:p>
      <w:pPr>
        <w:pStyle w:val="ListBullet"/>
      </w:pPr>
      <w:r>
        <w:rPr>
          <w:rFonts w:ascii="Calibri" w:hAnsi="Calibri"/>
          <w:b/>
          <w:color w:val="2B2B2B"/>
          <w:sz w:val="22"/>
        </w:rPr>
        <w:t>Nombre de un integrante:</w:t>
      </w:r>
      <w:r>
        <w:rPr>
          <w:rFonts w:ascii="Calibri" w:hAnsi="Calibri"/>
          <w:b w:val="0"/>
          <w:color w:val="2B2B2B"/>
          <w:sz w:val="22"/>
        </w:rPr>
        <w:t xml:space="preserve"> el cronograma dice «Jhon Castro Oviedo»; la portada, «Jhon Jairo Castro Oviedo» (p. 1). Equipo de 2, dentro del máximo de 3.</w:t>
      </w:r>
    </w:p>
    <w:p>
      <w:pPr>
        <w:pStyle w:val="ListBullet"/>
      </w:pPr>
      <w:r>
        <w:rPr>
          <w:rFonts w:ascii="Calibri" w:hAnsi="Calibri"/>
          <w:b/>
          <w:color w:val="2B2B2B"/>
          <w:sz w:val="22"/>
        </w:rPr>
        <w:t>Tres fechas distintas en los preliminares:</w:t>
      </w:r>
      <w:r>
        <w:rPr>
          <w:rFonts w:ascii="Calibri" w:hAnsi="Calibri"/>
          <w:b w:val="0"/>
          <w:color w:val="2B2B2B"/>
          <w:sz w:val="22"/>
        </w:rPr>
        <w:t xml:space="preserve"> portada «junio de 2026» (p. 1), declaración de originalidad firmada el 28 de febrero de 2026 (p. 11) y declaración de exoneración el 20 de febrero de 2026 (p. 12).</w:t>
      </w:r>
    </w:p>
    <w:p>
      <w:pPr>
        <w:pStyle w:val="ListBullet"/>
      </w:pPr>
      <w:r>
        <w:rPr>
          <w:rFonts w:ascii="Calibri" w:hAnsi="Calibri"/>
          <w:b/>
          <w:color w:val="2B2B2B"/>
          <w:sz w:val="22"/>
        </w:rPr>
        <w:t>No hay reporte de similitud, cronograma, presupuesto ni anexos</w:t>
      </w:r>
      <w:r>
        <w:rPr>
          <w:rFonts w:ascii="Calibri" w:hAnsi="Calibri"/>
          <w:b w:val="0"/>
          <w:color w:val="2B2B2B"/>
          <w:sz w:val="22"/>
        </w:rPr>
        <w:t xml:space="preserve"> en el PDF de 94 páginas (buscado con </w:t>
      </w:r>
      <w:r>
        <w:rPr>
          <w:rFonts w:ascii="Consolas" w:hAnsi="Consolas"/>
          <w:color w:val="111111"/>
          <w:sz w:val="21"/>
        </w:rPr>
        <w:t>--buscar</w:t>
      </w:r>
      <w:r>
        <w:rPr>
          <w:rFonts w:ascii="Calibri" w:hAnsi="Calibri"/>
          <w:b w:val="0"/>
          <w:color w:val="2B2B2B"/>
          <w:sz w:val="22"/>
        </w:rPr>
        <w:t>). Si la Dirección los exige para la entrega final, es un pendiente administrativo del metodólogo, no una nota de jurado.</w:t>
      </w:r>
    </w:p>
    <w:p>
      <w:pPr>
        <w:pStyle w:val="ListBullet"/>
      </w:pPr>
      <w:r>
        <w:rPr>
          <w:rFonts w:ascii="Calibri" w:hAnsi="Calibri"/>
          <w:b/>
          <w:color w:val="2B2B2B"/>
          <w:sz w:val="22"/>
        </w:rPr>
        <w:t>Datos de terceros:</w:t>
      </w:r>
      <w:r>
        <w:rPr>
          <w:rFonts w:ascii="Calibri" w:hAnsi="Calibri"/>
          <w:b w:val="0"/>
          <w:color w:val="2B2B2B"/>
          <w:sz w:val="22"/>
        </w:rPr>
        <w:t xml:space="preserve"> las 30 empresas aparecen con razón social y localidad (p. 44), y sus debilidades de seguridad quedan expuestas empresa por empresa en la p. 46 («Medidas básicas o ninguna» con la razón social al lado) y en la p. 47 (columna Ciberseguridad = 1). Las pp. 83 y 85 dan nivel, puntaje, índice y foco o riesgo, no la debilidad de ciberseguridad: citar </w:t>
      </w:r>
      <w:r>
        <w:rPr>
          <w:rFonts w:ascii="Calibri" w:hAnsi="Calibri"/>
          <w:b/>
          <w:color w:val="2B2B2B"/>
          <w:sz w:val="22"/>
        </w:rPr>
        <w:t>pp. 44, 46 y 47</w:t>
      </w:r>
      <w:r>
        <w:rPr>
          <w:rFonts w:ascii="Calibri" w:hAnsi="Calibri"/>
          <w:b w:val="0"/>
          <w:color w:val="2B2B2B"/>
          <w:sz w:val="22"/>
        </w:rPr>
        <w:t>. Vale la pena que la Dirección verifique si hay autorización de tratamiento de datos; es un asunto institucional y no debe mezclarse con la calificación.</w:t>
      </w:r>
    </w:p>
    <w:p>
      <w:pPr>
        <w:pStyle w:val="ListBullet"/>
      </w:pPr>
      <w:r>
        <w:rPr>
          <w:rFonts w:ascii="Calibri" w:hAnsi="Calibri"/>
          <w:b/>
          <w:color w:val="2B2B2B"/>
          <w:sz w:val="22"/>
        </w:rPr>
        <w:t>Forma (bloque breve, no se pregunta en sala):</w:t>
      </w:r>
      <w:r>
        <w:rPr>
          <w:rFonts w:ascii="Calibri" w:hAnsi="Calibri"/>
          <w:b w:val="0"/>
          <w:color w:val="2B2B2B"/>
          <w:sz w:val="22"/>
        </w:rPr>
        <w:t xml:space="preserve"> dos secciones numeradas «1» en la tabla de contenido —Introducción p. 13 y Planteamiento del problema p. 14— (p. 5); «Figura 6» repetida (pp. 42 y 43), y en la p. 42 ese rótulo encabeza en realidad una tabla de nivel/ecosistema/riesgo, no un diagrama; «Figura 7» repetida (pp. 45 y 46); «Figura 10» repetida (pp. 48 y 53); el cuerpo llega hasta la «Figura 26» (p. 75) mientras la Lista de Figuras (pp. 7-8) se detiene en la 24, y desde la Figura 15 los títulos van corridos dos números —la Lista dice que la 21 es «Imagen producto final… Versión Escritorio», que en el cuerpo es la 23 (p. 69)—; «Modelo Entidad - ERP» donde debe decir ER (p. 75); tres figuras distintas tituladas casi igual como diagrama de base de datos (pp. 60, 63, 64). La lista de referencias tiene 24 entradas y al menos 14 citas del cuerpo no están en ella (Laudon &amp; Laudon p. 21; Deloitte y Verhoef et al. p. 22; Fitzgerald et al. y McKinsey p. 23; Porter, Bharadwaj et al. y Cepal p. 24; OCDE y LatinPyme p. 29; Saavedra Crespo p. 30; Hernández/Fernández/Baptista y Sampieri pp. 31-32; Arias y Bryman p. 32; Taylor y Bogdan p. 33).</w:t>
      </w:r>
    </w:p>
    <w:p>
      <w:pPr>
        <w:pStyle w:val="ListBullet"/>
      </w:pPr>
      <w:r>
        <w:rPr>
          <w:rFonts w:ascii="Calibri" w:hAnsi="Calibri"/>
          <w:b/>
          <w:color w:val="2B2B2B"/>
          <w:sz w:val="22"/>
        </w:rPr>
        <w:t>Presentación:</w:t>
      </w:r>
      <w:r>
        <w:rPr>
          <w:rFonts w:ascii="Calibri" w:hAnsi="Calibri"/>
          <w:b w:val="0"/>
          <w:color w:val="2B2B2B"/>
          <w:sz w:val="22"/>
        </w:rPr>
        <w:t xml:space="preserve"> lo que había aquí sobre el mazo está ahora en la </w:t>
      </w:r>
      <w:r>
        <w:rPr>
          <w:rFonts w:ascii="Calibri" w:hAnsi="Calibri"/>
          <w:b/>
          <w:color w:val="2B2B2B"/>
          <w:sz w:val="22"/>
        </w:rPr>
        <w:t>§5</w:t>
      </w:r>
      <w:r>
        <w:rPr>
          <w:rFonts w:ascii="Calibri" w:hAnsi="Calibri"/>
          <w:b w:val="0"/>
          <w:color w:val="2B2B2B"/>
          <w:sz w:val="22"/>
        </w:rPr>
        <w:t xml:space="preserve"> —las dos muestras en el mismo cuadro de la diapositiva 6, en el punto 8, y las erratas de rótulo en «Forma del mazo»—. Administrativo de verdad queda uno: el archivo conserva el nombre de entrega de aula (</w:t>
      </w:r>
      <w:r>
        <w:rPr>
          <w:rFonts w:ascii="Consolas" w:hAnsi="Consolas"/>
          <w:color w:val="111111"/>
          <w:sz w:val="21"/>
        </w:rPr>
        <w:t>Tarea_1_Presentacion_Proyecto_2_Grupo_ 7_2.pdf</w:t>
      </w:r>
      <w:r>
        <w:rPr>
          <w:rFonts w:ascii="Calibri" w:hAnsi="Calibri"/>
          <w:b w:val="0"/>
          <w:color w:val="2B2B2B"/>
          <w:sz w:val="22"/>
        </w:rPr>
        <w:t>).</w:t>
      </w:r>
    </w:p>
    <w:p>
      <w:pPr>
        <w:pStyle w:val="ListBullet"/>
      </w:pPr>
      <w:r>
        <w:rPr>
          <w:rFonts w:ascii="Calibri" w:hAnsi="Calibri"/>
          <w:b/>
          <w:color w:val="2B2B2B"/>
          <w:sz w:val="22"/>
        </w:rPr>
        <w:t>La directora del proyecto (p. 2) es también la moderadora de la sesión.</w:t>
      </w:r>
      <w:r>
        <w:rPr>
          <w:rFonts w:ascii="Calibri" w:hAnsi="Calibri"/>
          <w:b w:val="0"/>
          <w:color w:val="2B2B2B"/>
          <w:sz w:val="22"/>
        </w:rPr>
        <w:t xml:space="preserve"> Es lo previsto en este esquema; se anota solo para tenerlo presente al ponderar el 25% de jurados.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