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26ET2-G-008 — Modelo conceptual para la integración de herramientas de transformación digital en la gestión energética inteligente de sistemas de energía solar para comunidades rurales del Valle del Cauca</w:t>
      </w:r>
    </w:p>
    <w:p>
      <w:r>
        <w:rPr>
          <w:rFonts w:ascii="Calibri" w:hAnsi="Calibri"/>
          <w:b/>
          <w:color w:val="2B2B2B"/>
          <w:sz w:val="22"/>
        </w:rPr>
        <w:t>Sustentación:</w:t>
      </w:r>
      <w:r>
        <w:rPr>
          <w:rFonts w:ascii="Calibri" w:hAnsi="Calibri"/>
          <w:b w:val="0"/>
          <w:color w:val="2B2B2B"/>
          <w:sz w:val="22"/>
        </w:rPr>
        <w:t xml:space="preserve"> martes 18 de agosto de 2026 · 8:20 p. m. – 8:40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Carlos Alberto Torres Ramírez (carlos.torresrra@cun.edu.co), Omaira Marilyn Cicua Caballero (omaira.cicua@cun.edu.co), Ana Fernanda Puentes Robles (ana.puestesr@cun.edu.co)</w:t>
      </w:r>
    </w:p>
    <w:p>
      <w:r>
        <w:rPr>
          <w:rFonts w:ascii="Calibri" w:hAnsi="Calibri"/>
          <w:b/>
          <w:color w:val="2B2B2B"/>
          <w:sz w:val="22"/>
        </w:rPr>
        <w:t>Línea:</w:t>
      </w:r>
      <w:r>
        <w:rPr>
          <w:rFonts w:ascii="Calibri" w:hAnsi="Calibri"/>
          <w:b w:val="0"/>
          <w:color w:val="2B2B2B"/>
          <w:sz w:val="22"/>
        </w:rPr>
        <w:t xml:space="preserve"> Desarrollo de soluciones técnicas aplicadas</w:t>
      </w:r>
    </w:p>
    <w:p>
      <w:r>
        <w:rPr>
          <w:rFonts w:ascii="Calibri" w:hAnsi="Calibri"/>
          <w:b/>
          <w:color w:val="2B2B2B"/>
          <w:sz w:val="22"/>
        </w:rPr>
        <w:t>Dirección del proyecto:</w:t>
      </w:r>
      <w:r>
        <w:rPr>
          <w:rFonts w:ascii="Calibri" w:hAnsi="Calibri"/>
          <w:b w:val="0"/>
          <w:color w:val="2B2B2B"/>
          <w:sz w:val="22"/>
        </w:rPr>
        <w:t xml:space="preserve"> María Fernanda Rivera Sanclemente (portada, p. 2), que además modera esta sala</w:t>
      </w:r>
    </w:p>
    <w:p>
      <w:r>
        <w:rPr>
          <w:rFonts w:ascii="Calibri" w:hAnsi="Calibri"/>
          <w:b/>
          <w:color w:val="2B2B2B"/>
          <w:sz w:val="22"/>
        </w:rPr>
        <w:t>Documentos leídos:</w:t>
      </w:r>
    </w:p>
    <w:p>
      <w:pPr>
        <w:pStyle w:val="ListBullet"/>
      </w:pPr>
      <w:r>
        <w:rPr>
          <w:rFonts w:ascii="Consolas" w:hAnsi="Consolas"/>
          <w:color w:val="111111"/>
          <w:sz w:val="21"/>
        </w:rPr>
        <w:t>Proyecto Final ACA3_V1 FIRMADO.pdf</w:t>
      </w:r>
      <w:r>
        <w:rPr>
          <w:rFonts w:ascii="Calibri" w:hAnsi="Calibri"/>
          <w:b w:val="0"/>
          <w:color w:val="2B2B2B"/>
          <w:sz w:val="22"/>
        </w:rPr>
        <w:t xml:space="preserve"> — </w:t>
      </w:r>
      <w:r>
        <w:rPr>
          <w:rFonts w:ascii="Calibri" w:hAnsi="Calibri"/>
          <w:b/>
          <w:color w:val="2B2B2B"/>
          <w:sz w:val="22"/>
        </w:rPr>
        <w:t>129 páginas</w:t>
      </w:r>
      <w:r>
        <w:rPr>
          <w:rFonts w:ascii="Calibri" w:hAnsi="Calibri"/>
          <w:b w:val="0"/>
          <w:color w:val="2B2B2B"/>
          <w:sz w:val="22"/>
        </w:rPr>
        <w:t>. Es la única versión en la carpeta del grupo; no hubo que elegir entre versiones.</w:t>
      </w:r>
    </w:p>
    <w:p>
      <w:pPr>
        <w:pStyle w:val="ListBullet"/>
      </w:pPr>
      <w:r>
        <w:rPr>
          <w:rFonts w:ascii="Consolas" w:hAnsi="Consolas"/>
          <w:color w:val="111111"/>
          <w:sz w:val="21"/>
        </w:rPr>
        <w:t>ACA_3_Proyecto de Grado_ plantilla de presentacion..pdf</w:t>
      </w:r>
      <w:r>
        <w:rPr>
          <w:rFonts w:ascii="Calibri" w:hAnsi="Calibri"/>
          <w:b w:val="0"/>
          <w:color w:val="2B2B2B"/>
          <w:sz w:val="22"/>
        </w:rPr>
        <w:t xml:space="preserve"> — </w:t>
      </w:r>
      <w:r>
        <w:rPr>
          <w:rFonts w:ascii="Calibri" w:hAnsi="Calibri"/>
          <w:b/>
          <w:color w:val="2B2B2B"/>
          <w:sz w:val="22"/>
        </w:rPr>
        <w:t>12 diapositivas</w:t>
      </w:r>
      <w:r>
        <w:rPr>
          <w:rFonts w:ascii="Calibri" w:hAnsi="Calibri"/>
          <w:b w:val="0"/>
          <w:color w:val="2B2B2B"/>
          <w:sz w:val="22"/>
        </w:rPr>
        <w:t>. El archivo tiene 141 páginas porque desde la p. 13 trae pegado el documento completo otra vez. Las diapositivas son infografías exportadas como imagen: su texto no es extraíble, así que se leyó abriendo las imágenes de cada diapositiva.</w:t>
      </w:r>
    </w:p>
    <w:p>
      <w:pPr>
        <w:spacing w:before="200" w:after="60"/>
      </w:pPr>
      <w:r>
        <w:rPr>
          <w:rFonts w:ascii="Calibri" w:hAnsi="Calibri"/>
          <w:b/>
          <w:color w:val="007433"/>
          <w:sz w:val="32"/>
        </w:rPr>
        <w:t>1. Resumen para leer en 5 minutos</w:t>
      </w:r>
    </w:p>
    <w:p>
      <w:r>
        <w:rPr>
          <w:rFonts w:ascii="Calibri" w:hAnsi="Calibri"/>
          <w:b/>
          <w:color w:val="2B2B2B"/>
          <w:sz w:val="22"/>
        </w:rPr>
        <w:t>Es un trabajo documental, no de desarrollo.</w:t>
      </w:r>
      <w:r>
        <w:rPr>
          <w:rFonts w:ascii="Calibri" w:hAnsi="Calibri"/>
          <w:b w:val="0"/>
          <w:color w:val="2B2B2B"/>
          <w:sz w:val="22"/>
        </w:rPr>
        <w:t xml:space="preserve"> Problema: en el Valle del Cauca instalar sistemas fotovoltaicos rurales no garantiza su continuidad, porque faltan seguimiento técnico, mantenimiento y disponibilidad de información para decidir (p. 16); la ausencia de herramientas digitales de supervisión dificulta detectar fallas a tiempo y sube el costo de operación (p. 17). Pregunta: «¿Cómo estructurar un modelo conceptual que integre herramientas de transformación digital para fortalecer la gestión de sistemas de energía solar en comunidades rurales del Valle del Cauca?» (p. 18). Objetivo general: </w:t>
      </w:r>
      <w:r>
        <w:rPr>
          <w:rFonts w:ascii="Calibri" w:hAnsi="Calibri"/>
          <w:b/>
          <w:color w:val="2B2B2B"/>
          <w:sz w:val="22"/>
        </w:rPr>
        <w:t>proponer</w:t>
      </w:r>
      <w:r>
        <w:rPr>
          <w:rFonts w:ascii="Calibri" w:hAnsi="Calibri"/>
          <w:b w:val="0"/>
          <w:color w:val="2B2B2B"/>
          <w:sz w:val="22"/>
        </w:rPr>
        <w:t xml:space="preserve"> ese modelo a partir del análisis de referentes científicos, tecnológicos y normativos (p. 19). Los cuatro objetivos específicos quedan amarrados uno a uno a un apartado de resultados en la Tabla 1 (p. 20).</w:t>
      </w:r>
    </w:p>
    <w:p>
      <w:r>
        <w:rPr>
          <w:rFonts w:ascii="Calibri" w:hAnsi="Calibri"/>
          <w:b/>
          <w:color w:val="2B2B2B"/>
          <w:sz w:val="22"/>
        </w:rPr>
        <w:t>Método:</w:t>
      </w:r>
      <w:r>
        <w:rPr>
          <w:rFonts w:ascii="Calibri" w:hAnsi="Calibri"/>
          <w:b w:val="0"/>
          <w:color w:val="2B2B2B"/>
          <w:sz w:val="22"/>
        </w:rPr>
        <w:t xml:space="preserve"> enfoque cualitativo descriptivo-analítico, diseño documental, sin intervención ni medición en campo (p. 38). Unidad de análisis: </w:t>
      </w:r>
      <w:r>
        <w:rPr>
          <w:rFonts w:ascii="Calibri" w:hAnsi="Calibri"/>
          <w:b/>
          <w:color w:val="2B2B2B"/>
          <w:sz w:val="22"/>
        </w:rPr>
        <w:t>35 fuentes</w:t>
      </w:r>
      <w:r>
        <w:rPr>
          <w:rFonts w:ascii="Calibri" w:hAnsi="Calibri"/>
          <w:b w:val="0"/>
          <w:color w:val="2B2B2B"/>
          <w:sz w:val="22"/>
        </w:rPr>
        <w:t xml:space="preserve"> codificadas D01–D35, clasificadas en Excel por tipo, alcance, categoría y objetivo, y etiquetadas OE1–OE4 (pp. 40 y 42). El documento aclara que esa codificación «no se utilizó como un procedimiento de análisis estadístico» (p. 42). Instrumentos: matriz de caracterización documental y matriz de análisis documental, transcritas completas dentro del capítulo de metodología (Tablas 3 y 4, pp. 43-66).</w:t>
      </w:r>
    </w:p>
    <w:p>
      <w:r>
        <w:rPr>
          <w:rFonts w:ascii="Calibri" w:hAnsi="Calibri"/>
          <w:b/>
          <w:color w:val="2B2B2B"/>
          <w:sz w:val="22"/>
        </w:rPr>
        <w:t>Resultados.</w:t>
      </w:r>
      <w:r>
        <w:rPr>
          <w:rFonts w:ascii="Calibri" w:hAnsi="Calibri"/>
          <w:b w:val="0"/>
          <w:color w:val="2B2B2B"/>
          <w:sz w:val="22"/>
        </w:rPr>
        <w:t xml:space="preserve"> OE1: la sostenibilidad de los sistemas rurales depende de mantenimiento, seguimiento, capacidades locales y participación comunitaria, no sólo de la infraestructura (pp. 82-84). OE2: IoT, nube, analítica de datos e IA cumplen funciones complementarias sobre paneles, inversores, baterías y medidores (pp. 85-89). OE3: esas capacidades sólo rinden si los datos entran a procesos de supervisión, mantenimiento y decisión (apartado 8.5, pp. 90-93). El apartado 8.6 (pp. 94-96) añade las condiciones habilitadoras, que en la Tabla 15 (pp. 95-96) son </w:t>
      </w:r>
      <w:r>
        <w:rPr>
          <w:rFonts w:ascii="Calibri" w:hAnsi="Calibri"/>
          <w:b/>
          <w:color w:val="2B2B2B"/>
          <w:sz w:val="22"/>
        </w:rPr>
        <w:t>seis</w:t>
      </w:r>
      <w:r>
        <w:rPr>
          <w:rFonts w:ascii="Calibri" w:hAnsi="Calibri"/>
          <w:b w:val="0"/>
          <w:color w:val="2B2B2B"/>
          <w:sz w:val="22"/>
        </w:rPr>
        <w:t xml:space="preserve">: infraestructura tecnológica adecuada, conectividad y comunicación de datos, capacidades técnicas y talento humano, marco normativo e institucional, participación comunitaria y sostenibilidad financiera. (La lista de </w:t>
      </w:r>
      <w:r>
        <w:rPr>
          <w:rFonts w:ascii="Calibri" w:hAnsi="Calibri"/>
          <w:b/>
          <w:color w:val="2B2B2B"/>
          <w:sz w:val="22"/>
        </w:rPr>
        <w:t>cinco</w:t>
      </w:r>
      <w:r>
        <w:rPr>
          <w:rFonts w:ascii="Calibri" w:hAnsi="Calibri"/>
          <w:b w:val="0"/>
          <w:color w:val="2B2B2B"/>
          <w:sz w:val="22"/>
        </w:rPr>
        <w:t xml:space="preserve"> que incluye «gobernanza» es otra: es la del quinto componente del modelo, p. 105.)</w:t>
      </w:r>
    </w:p>
    <w:p>
      <w:r>
        <w:rPr>
          <w:rFonts w:ascii="Calibri" w:hAnsi="Calibri"/>
          <w:b/>
          <w:color w:val="2B2B2B"/>
          <w:sz w:val="22"/>
        </w:rPr>
        <w:t>Producto (OE4):</w:t>
      </w:r>
      <w:r>
        <w:rPr>
          <w:rFonts w:ascii="Calibri" w:hAnsi="Calibri"/>
          <w:b w:val="0"/>
          <w:color w:val="2B2B2B"/>
          <w:sz w:val="22"/>
        </w:rPr>
        <w:t xml:space="preserve"> un modelo conceptual de </w:t>
      </w:r>
      <w:r>
        <w:rPr>
          <w:rFonts w:ascii="Calibri" w:hAnsi="Calibri"/>
          <w:b/>
          <w:color w:val="2B2B2B"/>
          <w:sz w:val="22"/>
        </w:rPr>
        <w:t>cinco componentes</w:t>
      </w:r>
      <w:r>
        <w:rPr>
          <w:rFonts w:ascii="Calibri" w:hAnsi="Calibri"/>
          <w:b w:val="0"/>
          <w:color w:val="2B2B2B"/>
          <w:sz w:val="22"/>
        </w:rPr>
        <w:t xml:space="preserve"> —contexto de aplicación, infraestructura energética, herramientas de transformación digital, gestión energética inteligente y condiciones habilitadoras— más un bloque de «resultados esperados» que el propio documento advierte que no son efectos comprobados (pp. 104-107). Se complementa con una </w:t>
      </w:r>
      <w:r>
        <w:rPr>
          <w:rFonts w:ascii="Calibri" w:hAnsi="Calibri"/>
          <w:b/>
          <w:color w:val="2B2B2B"/>
          <w:sz w:val="22"/>
        </w:rPr>
        <w:t>arquitectura conceptual de datos e IoT en seis etapas</w:t>
      </w:r>
      <w:r>
        <w:rPr>
          <w:rFonts w:ascii="Calibri" w:hAnsi="Calibri"/>
          <w:b w:val="0"/>
          <w:color w:val="2B2B2B"/>
          <w:sz w:val="22"/>
        </w:rPr>
        <w:t xml:space="preserve"> (captura → transmisión → almacenamiento → procesamiento y analítica → visualización → apoyo a la decisión; pp. 107-110, Figura 11 en p. 110), una tabla de siete riesgos con alternativas operativas (Tabla 19, pp. 113-114) y una ruta de referencia para una aplicación futura (Figura 12, p. 116).</w:t>
      </w:r>
    </w:p>
    <w:p>
      <w:r>
        <w:rPr>
          <w:rFonts w:ascii="Calibri" w:hAnsi="Calibri"/>
          <w:b/>
          <w:color w:val="2B2B2B"/>
          <w:sz w:val="22"/>
        </w:rPr>
        <w:t>Límites que el documento declara de frente:</w:t>
      </w:r>
      <w:r>
        <w:rPr>
          <w:rFonts w:ascii="Calibri" w:hAnsi="Calibri"/>
          <w:b w:val="0"/>
          <w:color w:val="2B2B2B"/>
          <w:sz w:val="22"/>
        </w:rPr>
        <w:t xml:space="preserve"> no hubo instalación, programación, dispositivos IoT ni validación empírica, y el modelo no pasó por piloto, pruebas de funcionamiento ni juicio de expertos (pp. 23, 119 y 123).</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El verbo del objetivo general es </w:t>
      </w:r>
      <w:r>
        <w:rPr>
          <w:rFonts w:ascii="Calibri" w:hAnsi="Calibri"/>
          <w:b/>
          <w:color w:val="2B2B2B"/>
          <w:sz w:val="22"/>
        </w:rPr>
        <w:t>«proponer»</w:t>
      </w:r>
      <w:r>
        <w:rPr>
          <w:rFonts w:ascii="Calibri" w:hAnsi="Calibri"/>
          <w:b w:val="0"/>
          <w:color w:val="2B2B2B"/>
          <w:sz w:val="22"/>
        </w:rPr>
        <w:t xml:space="preserve"> un modelo conceptual (p. 19). Ese es el techo del trabajo y el trabajo se queda dentro de él: no promete implementar ni evaluar. La incoherencia no está entre título y objetivo, está entre el </w:t>
      </w:r>
      <w:r>
        <w:rPr>
          <w:rFonts w:ascii="Calibri" w:hAnsi="Calibri"/>
          <w:b/>
          <w:color w:val="2B2B2B"/>
          <w:sz w:val="22"/>
        </w:rPr>
        <w:t>anclaje territorial</w:t>
      </w:r>
      <w:r>
        <w:rPr>
          <w:rFonts w:ascii="Calibri" w:hAnsi="Calibri"/>
          <w:b w:val="0"/>
          <w:color w:val="2B2B2B"/>
          <w:sz w:val="22"/>
        </w:rPr>
        <w:t xml:space="preserve"> que anuncian los dos y la </w:t>
      </w:r>
      <w:r>
        <w:rPr>
          <w:rFonts w:ascii="Calibri" w:hAnsi="Calibri"/>
          <w:b/>
          <w:color w:val="2B2B2B"/>
          <w:sz w:val="22"/>
        </w:rPr>
        <w:t>evidencia</w:t>
      </w:r>
      <w:r>
        <w:rPr>
          <w:rFonts w:ascii="Calibri" w:hAnsi="Calibri"/>
          <w:b w:val="0"/>
          <w:color w:val="2B2B2B"/>
          <w:sz w:val="22"/>
        </w:rPr>
        <w:t xml:space="preserve"> que se analizó.</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Dónde está la evidencia</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color w:val="2B2B2B"/>
                <w:sz w:val="20"/>
              </w:rPr>
              <w:t>OE1.</w:t>
            </w:r>
            <w:r>
              <w:rPr>
                <w:rFonts w:ascii="Calibri" w:hAnsi="Calibri"/>
                <w:b w:val="0"/>
                <w:color w:val="2B2B2B"/>
                <w:sz w:val="20"/>
              </w:rPr>
              <w:t xml:space="preserve"> Identificar las condiciones actuales de la gestión de sistemas de energía solar en comunidades rurales </w:t>
            </w:r>
            <w:r>
              <w:rPr>
                <w:rFonts w:ascii="Calibri" w:hAnsi="Calibri"/>
                <w:b/>
                <w:color w:val="2B2B2B"/>
                <w:sz w:val="20"/>
              </w:rPr>
              <w:t>del Valle del Cauca</w:t>
            </w:r>
            <w:r>
              <w:rPr>
                <w:rFonts w:ascii="Calibri" w:hAnsi="Calibri"/>
                <w:b w:val="0"/>
                <w:color w:val="2B2B2B"/>
                <w:sz w:val="20"/>
              </w:rPr>
              <w:t>, a partir de literatura, documentos técnicos y normativos (p. 19)</w:t>
            </w:r>
          </w:p>
        </w:tc>
        <w:tc>
          <w:tcPr>
            <w:tcW w:type="dxa" w:w="2448"/>
          </w:tcPr>
          <w:p>
            <w:r/>
            <w:r>
              <w:rPr>
                <w:rFonts w:ascii="Calibri" w:hAnsi="Calibri"/>
                <w:b/>
                <w:color w:val="2B2B2B"/>
                <w:sz w:val="20"/>
              </w:rPr>
              <w:t>Parcial</w:t>
            </w:r>
          </w:p>
        </w:tc>
        <w:tc>
          <w:tcPr>
            <w:tcW w:type="dxa" w:w="2448"/>
          </w:tcPr>
          <w:p>
            <w:r/>
            <w:r>
              <w:rPr>
                <w:rFonts w:ascii="Calibri" w:hAnsi="Calibri"/>
                <w:b w:val="0"/>
                <w:color w:val="2B2B2B"/>
                <w:sz w:val="20"/>
              </w:rPr>
              <w:t>Apartado 8.3, pp. 82-84: Tabla 8 con cuatro hallazgos recurrentes y Tabla 9 con los componentes que pasan al modelo (p. 84)</w:t>
            </w:r>
          </w:p>
        </w:tc>
        <w:tc>
          <w:tcPr>
            <w:tcW w:type="dxa" w:w="2448"/>
          </w:tcPr>
          <w:p>
            <w:r/>
            <w:r>
              <w:rPr>
                <w:rFonts w:ascii="Calibri" w:hAnsi="Calibri"/>
                <w:b w:val="0"/>
                <w:color w:val="2B2B2B"/>
                <w:sz w:val="20"/>
              </w:rPr>
              <w:t xml:space="preserve">Lo territorial. En la matriz D01–D35 (pp. 43-48) </w:t>
            </w:r>
            <w:r>
              <w:rPr>
                <w:rFonts w:ascii="Calibri" w:hAnsi="Calibri"/>
                <w:b/>
                <w:color w:val="2B2B2B"/>
                <w:sz w:val="20"/>
              </w:rPr>
              <w:t>ninguna fuente tiene alcance Valle del Cauca</w:t>
            </w:r>
            <w:r>
              <w:rPr>
                <w:rFonts w:ascii="Calibri" w:hAnsi="Calibri"/>
                <w:b w:val="0"/>
                <w:color w:val="2B2B2B"/>
                <w:sz w:val="20"/>
              </w:rPr>
              <w:t xml:space="preserve">: la columna «País / Alcance» sólo usa </w:t>
            </w:r>
            <w:r>
              <w:rPr>
                <w:rFonts w:ascii="Calibri" w:hAnsi="Calibri"/>
                <w:i/>
                <w:color w:val="2B2B2B"/>
                <w:sz w:val="20"/>
              </w:rPr>
              <w:t>Internacional</w:t>
            </w:r>
            <w:r>
              <w:rPr>
                <w:rFonts w:ascii="Calibri" w:hAnsi="Calibri"/>
                <w:b w:val="0"/>
                <w:color w:val="2B2B2B"/>
                <w:sz w:val="20"/>
              </w:rPr>
              <w:t xml:space="preserve">, </w:t>
            </w:r>
            <w:r>
              <w:rPr>
                <w:rFonts w:ascii="Calibri" w:hAnsi="Calibri"/>
                <w:i/>
                <w:color w:val="2B2B2B"/>
                <w:sz w:val="20"/>
              </w:rPr>
              <w:t>Asia</w:t>
            </w:r>
            <w:r>
              <w:rPr>
                <w:rFonts w:ascii="Calibri" w:hAnsi="Calibri"/>
                <w:b w:val="0"/>
                <w:color w:val="2B2B2B"/>
                <w:sz w:val="20"/>
              </w:rPr>
              <w:t xml:space="preserve">, </w:t>
            </w:r>
            <w:r>
              <w:rPr>
                <w:rFonts w:ascii="Calibri" w:hAnsi="Calibri"/>
                <w:i/>
                <w:color w:val="2B2B2B"/>
                <w:sz w:val="20"/>
              </w:rPr>
              <w:t>Organismos regionales</w:t>
            </w:r>
            <w:r>
              <w:rPr>
                <w:rFonts w:ascii="Calibri" w:hAnsi="Calibri"/>
                <w:b w:val="0"/>
                <w:color w:val="2B2B2B"/>
                <w:sz w:val="20"/>
              </w:rPr>
              <w:t xml:space="preserve"> y </w:t>
            </w:r>
            <w:r>
              <w:rPr>
                <w:rFonts w:ascii="Calibri" w:hAnsi="Calibri"/>
                <w:i/>
                <w:color w:val="2B2B2B"/>
                <w:sz w:val="20"/>
              </w:rPr>
              <w:t>Documentos nacionales</w:t>
            </w:r>
            <w:r>
              <w:rPr>
                <w:rFonts w:ascii="Calibri" w:hAnsi="Calibri"/>
                <w:b w:val="0"/>
                <w:color w:val="2B2B2B"/>
                <w:sz w:val="20"/>
              </w:rPr>
              <w:t>. El propio documento lo reconoce (pp. 23 y 75). Lo cumplido es un diagnóstico documental del contexto rural en general</w:t>
            </w:r>
          </w:p>
        </w:tc>
      </w:tr>
      <w:tr>
        <w:tc>
          <w:tcPr>
            <w:tcW w:type="dxa" w:w="2448"/>
            <w:shd w:val="clear" w:fill="F5F7F5"/>
            <w:shd w:val="clear" w:fill="F5F7F5"/>
          </w:tcPr>
          <w:p>
            <w:r/>
            <w:r>
              <w:rPr>
                <w:rFonts w:ascii="Calibri" w:hAnsi="Calibri"/>
                <w:b/>
                <w:color w:val="2B2B2B"/>
                <w:sz w:val="20"/>
              </w:rPr>
              <w:t>OE2.</w:t>
            </w:r>
            <w:r>
              <w:rPr>
                <w:rFonts w:ascii="Calibri" w:hAnsi="Calibri"/>
                <w:b w:val="0"/>
                <w:color w:val="2B2B2B"/>
                <w:sz w:val="20"/>
              </w:rPr>
              <w:t xml:space="preserve"> Describir los componentes técnicos de los sistemas solares y las herramientas de transformación digital aplicables a su gestión (p. 19)</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Apartado 8.4, pp. 85-89: Tabla 10 de hallazgos, Tabla 11 (componente físico → variable → herramienta) y Tabla 12 de aporte al modelo</w:t>
            </w:r>
          </w:p>
        </w:tc>
        <w:tc>
          <w:tcPr>
            <w:tcW w:type="dxa" w:w="2448"/>
            <w:shd w:val="clear" w:fill="F5F7F5"/>
            <w:shd w:val="clear" w:fill="F5F7F5"/>
          </w:tcPr>
          <w:p>
            <w:r/>
            <w:r>
              <w:rPr>
                <w:rFonts w:ascii="Calibri" w:hAnsi="Calibri"/>
                <w:b w:val="0"/>
                <w:color w:val="2B2B2B"/>
                <w:sz w:val="20"/>
              </w:rPr>
              <w:t>Nada estructural. Es el objetivo mejor cerrado</w:t>
            </w:r>
          </w:p>
        </w:tc>
      </w:tr>
      <w:tr>
        <w:tc>
          <w:tcPr>
            <w:tcW w:type="dxa" w:w="2448"/>
          </w:tcPr>
          <w:p>
            <w:r/>
            <w:r>
              <w:rPr>
                <w:rFonts w:ascii="Calibri" w:hAnsi="Calibri"/>
                <w:b/>
                <w:color w:val="2B2B2B"/>
                <w:sz w:val="20"/>
              </w:rPr>
              <w:t>OE3.</w:t>
            </w:r>
            <w:r>
              <w:rPr>
                <w:rFonts w:ascii="Calibri" w:hAnsi="Calibri"/>
                <w:b w:val="0"/>
                <w:color w:val="2B2B2B"/>
                <w:sz w:val="20"/>
              </w:rPr>
              <w:t xml:space="preserve"> Analizar la integración entre sistemas solares y herramientas digitales para fortalecer la gestión energética (p. 19)</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Apartado 8.5, pp. 90-93 (abre en la p. 90, justo debajo de la Figura 7): flujo funcional (Figura 8, p. 92), Tabla 13 de resultados (p. 92) y Tabla 14 de contribución (p. 94, ya dentro de 8.6)</w:t>
            </w:r>
          </w:p>
        </w:tc>
        <w:tc>
          <w:tcPr>
            <w:tcW w:type="dxa" w:w="2448"/>
          </w:tcPr>
          <w:p>
            <w:r/>
            <w:r>
              <w:rPr>
                <w:rFonts w:ascii="Calibri" w:hAnsi="Calibri"/>
                <w:b w:val="0"/>
                <w:color w:val="2B2B2B"/>
                <w:sz w:val="20"/>
              </w:rPr>
              <w:t>El análisis se queda en el nivel de «qué dice la literatura». No hay un criterio propio que discrimine entre herramientas: todas terminan siendo complementarias y ninguna se descarta</w:t>
            </w:r>
          </w:p>
        </w:tc>
      </w:tr>
      <w:tr>
        <w:tc>
          <w:tcPr>
            <w:tcW w:type="dxa" w:w="2448"/>
            <w:shd w:val="clear" w:fill="F5F7F5"/>
            <w:shd w:val="clear" w:fill="F5F7F5"/>
          </w:tcPr>
          <w:p>
            <w:r/>
            <w:r>
              <w:rPr>
                <w:rFonts w:ascii="Calibri" w:hAnsi="Calibri"/>
                <w:b/>
                <w:color w:val="2B2B2B"/>
                <w:sz w:val="20"/>
              </w:rPr>
              <w:t>OE4.</w:t>
            </w:r>
            <w:r>
              <w:rPr>
                <w:rFonts w:ascii="Calibri" w:hAnsi="Calibri"/>
                <w:b w:val="0"/>
                <w:color w:val="2B2B2B"/>
                <w:sz w:val="20"/>
              </w:rPr>
              <w:t xml:space="preserve"> Diseñar el modelo conceptual orientado a la sostenibilidad energética de las comunidades rurales del Valle del Cauca (p. 19)</w:t>
            </w:r>
          </w:p>
        </w:tc>
        <w:tc>
          <w:tcPr>
            <w:tcW w:type="dxa" w:w="2448"/>
            <w:shd w:val="clear" w:fill="F5F7F5"/>
            <w:shd w:val="clear" w:fill="F5F7F5"/>
          </w:tcPr>
          <w:p>
            <w:r/>
            <w:r>
              <w:rPr>
                <w:rFonts w:ascii="Calibri" w:hAnsi="Calibri"/>
                <w:b/>
                <w:color w:val="2B2B2B"/>
                <w:sz w:val="20"/>
              </w:rPr>
              <w:t>Sí, en su alcance</w:t>
            </w:r>
          </w:p>
        </w:tc>
        <w:tc>
          <w:tcPr>
            <w:tcW w:type="dxa" w:w="2448"/>
            <w:shd w:val="clear" w:fill="F5F7F5"/>
            <w:shd w:val="clear" w:fill="F5F7F5"/>
          </w:tcPr>
          <w:p>
            <w:r/>
            <w:r>
              <w:rPr>
                <w:rFonts w:ascii="Calibri" w:hAnsi="Calibri"/>
                <w:b w:val="0"/>
                <w:color w:val="2B2B2B"/>
                <w:sz w:val="20"/>
              </w:rPr>
              <w:t>Apartado 8.8, pp. 102-113: ruta de construcción (Figura 10, p. 102), Tabla 17 de vacíos y aportes (pp. 103-104), Tabla 18 con los cinco componentes (pp. 106-107), arquitectura de seis etapas (pp. 107-110) y Tabla 19 de riesgos (pp. 113-114). La ruta de aplicación (Figura 12, p. 116) ya pertenece a 8.9 (pp. 114-115)</w:t>
            </w:r>
          </w:p>
        </w:tc>
        <w:tc>
          <w:tcPr>
            <w:tcW w:type="dxa" w:w="2448"/>
            <w:shd w:val="clear" w:fill="F5F7F5"/>
            <w:shd w:val="clear" w:fill="F5F7F5"/>
          </w:tcPr>
          <w:p>
            <w:r/>
            <w:r>
              <w:rPr>
                <w:rFonts w:ascii="Calibri" w:hAnsi="Calibri"/>
                <w:b w:val="0"/>
                <w:color w:val="2B2B2B"/>
                <w:sz w:val="20"/>
              </w:rPr>
              <w:t xml:space="preserve">Ningún contraste del modelo, ni siquiera el más barato y perfectamente admisible en una especialización: </w:t>
            </w:r>
            <w:r>
              <w:rPr>
                <w:rFonts w:ascii="Calibri" w:hAnsi="Calibri"/>
                <w:b/>
                <w:color w:val="2B2B2B"/>
                <w:sz w:val="20"/>
              </w:rPr>
              <w:t>juicio de expertos</w:t>
            </w:r>
            <w:r>
              <w:rPr>
                <w:rFonts w:ascii="Calibri" w:hAnsi="Calibri"/>
                <w:b w:val="0"/>
                <w:color w:val="2B2B2B"/>
                <w:sz w:val="20"/>
              </w:rPr>
              <w:t>. El documento lo declara como limitación (p. 23)</w:t>
            </w:r>
          </w:p>
        </w:tc>
      </w:tr>
    </w:tbl>
    <w:p/>
    <w:p>
      <w:r>
        <w:rPr>
          <w:rFonts w:ascii="Calibri" w:hAnsi="Calibri"/>
          <w:b/>
          <w:color w:val="2B2B2B"/>
          <w:sz w:val="22"/>
        </w:rPr>
        <w:t>Conclusión del cruce:</w:t>
      </w:r>
      <w:r>
        <w:rPr>
          <w:rFonts w:ascii="Calibri" w:hAnsi="Calibri"/>
          <w:b w:val="0"/>
          <w:color w:val="2B2B2B"/>
          <w:sz w:val="22"/>
        </w:rPr>
        <w:t xml:space="preserve"> 3 de 4 objetivos cerrados y el cuarto —el producto— efectivamente existe y es descriptible. El hueco es OE1 en su parte territorial, y arrastra al título.</w:t>
      </w:r>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Honestidad sobre el alcance, sostenida en todo el documento.</w:t>
      </w:r>
      <w:r>
        <w:rPr>
          <w:rFonts w:ascii="Calibri" w:hAnsi="Calibri"/>
          <w:b w:val="0"/>
          <w:color w:val="2B2B2B"/>
          <w:sz w:val="22"/>
        </w:rPr>
        <w:t xml:space="preserve"> El apartado de alcances excluye por escrito instalación, desarrollo de plataformas, programación, dispositivos IoT y validación empírica (p. 23). Y no lo dice una sola vez: los «resultados esperados» del modelo se marcan como no comprobados en la p. 105, se repite en la p. 106, en la discusión (p. 119) y en las conclusiones (p. 123). Esto es exactamente lo que un jurado quiere ver en un trabajo conceptual.</w:t>
      </w:r>
    </w:p>
    <w:p>
      <w:pPr>
        <w:pStyle w:val="ListNumber"/>
      </w:pPr>
      <w:r>
        <w:rPr>
          <w:rFonts w:ascii="Calibri" w:hAnsi="Calibri"/>
          <w:b/>
          <w:color w:val="2B2B2B"/>
          <w:sz w:val="22"/>
        </w:rPr>
        <w:t>Trazabilidad real, no declarada.</w:t>
      </w:r>
      <w:r>
        <w:rPr>
          <w:rFonts w:ascii="Calibri" w:hAnsi="Calibri"/>
          <w:b w:val="0"/>
          <w:color w:val="2B2B2B"/>
          <w:sz w:val="22"/>
        </w:rPr>
        <w:t xml:space="preserve"> Codificación D01–D35, etiquetas OE1–OE4 (p. 42) y una Tabla 1 de alineación metodológica que amarra objetivo → capítulo → categoría → resultado (p. 20). Se puede seguir un hallazgo desde la fuente hasta el componente del modelo.</w:t>
      </w:r>
    </w:p>
    <w:p>
      <w:pPr>
        <w:pStyle w:val="ListNumber"/>
      </w:pPr>
      <w:r>
        <w:rPr>
          <w:rFonts w:ascii="Calibri" w:hAnsi="Calibri"/>
          <w:b/>
          <w:color w:val="2B2B2B"/>
          <w:sz w:val="22"/>
        </w:rPr>
        <w:t>Los instrumentos están a la vista.</w:t>
      </w:r>
      <w:r>
        <w:rPr>
          <w:rFonts w:ascii="Calibri" w:hAnsi="Calibri"/>
          <w:b w:val="0"/>
          <w:color w:val="2B2B2B"/>
          <w:sz w:val="22"/>
        </w:rPr>
        <w:t xml:space="preserve"> Las dos matrices se transcriben completas (Tablas 3 y 4, pp. 43-66): el lector puede auditar qué se leyó y qué se concluyó de cada fuente. Es poco frecuente y le da mucho peso al trabajo.</w:t>
      </w:r>
    </w:p>
    <w:p>
      <w:pPr>
        <w:pStyle w:val="ListNumber"/>
      </w:pPr>
      <w:r>
        <w:rPr>
          <w:rFonts w:ascii="Calibri" w:hAnsi="Calibri"/>
          <w:b/>
          <w:color w:val="2B2B2B"/>
          <w:sz w:val="22"/>
        </w:rPr>
        <w:t>Cada objetivo cierra con su tabla de «contribución al modelo»</w:t>
      </w:r>
      <w:r>
        <w:rPr>
          <w:rFonts w:ascii="Calibri" w:hAnsi="Calibri"/>
          <w:b w:val="0"/>
          <w:color w:val="2B2B2B"/>
          <w:sz w:val="22"/>
        </w:rPr>
        <w:t xml:space="preserve"> (Tablas 9, 12 y 14, pp. 84, 89 y 94), de modo que el modelo final no aparece por generación espontánea.</w:t>
      </w:r>
    </w:p>
    <w:p>
      <w:pPr>
        <w:pStyle w:val="ListNumber"/>
      </w:pPr>
      <w:r>
        <w:rPr>
          <w:rFonts w:ascii="Calibri" w:hAnsi="Calibri"/>
          <w:b/>
          <w:color w:val="2B2B2B"/>
          <w:sz w:val="22"/>
        </w:rPr>
        <w:t>El producto va más allá del diagrama.</w:t>
      </w:r>
      <w:r>
        <w:rPr>
          <w:rFonts w:ascii="Calibri" w:hAnsi="Calibri"/>
          <w:b w:val="0"/>
          <w:color w:val="2B2B2B"/>
          <w:sz w:val="22"/>
        </w:rPr>
        <w:t xml:space="preserve"> Arquitectura de seis etapas con la secuencia de datos explícita (p. 109), tratamiento del escenario de conectividad intermitente con almacenamiento local y sincronización posterior (pp. 109-110) y siete riesgos con alternativas (Tabla 19, pp. 113-114). Para un trabajo documental, eso es entregable.</w:t>
      </w:r>
    </w:p>
    <w:p>
      <w:pPr>
        <w:pStyle w:val="ListNumber"/>
      </w:pPr>
      <w:r>
        <w:rPr>
          <w:rFonts w:ascii="Calibri" w:hAnsi="Calibri"/>
          <w:b/>
          <w:color w:val="2B2B2B"/>
          <w:sz w:val="22"/>
        </w:rPr>
        <w:t>La discusión discute.</w:t>
      </w:r>
      <w:r>
        <w:rPr>
          <w:rFonts w:ascii="Calibri" w:hAnsi="Calibri"/>
          <w:b w:val="0"/>
          <w:color w:val="2B2B2B"/>
          <w:sz w:val="22"/>
        </w:rPr>
        <w:t xml:space="preserve"> Contrasta con Mandelli et al. (2016), Palit y Chaurey (2011), Bhattacharyya (2019), REN21 (2022) y CEPAL (2020), y en cada caso dice qué añade el estudio (pp. 117-118). No es una lista de autores pegada.</w:t>
      </w:r>
    </w:p>
    <w:p>
      <w:pPr>
        <w:pStyle w:val="ListNumber"/>
      </w:pPr>
      <w:r>
        <w:rPr>
          <w:rFonts w:ascii="Calibri" w:hAnsi="Calibri"/>
          <w:b/>
          <w:color w:val="2B2B2B"/>
          <w:sz w:val="22"/>
        </w:rPr>
        <w:t>Limitaciones concretas y verificables</w:t>
      </w:r>
      <w:r>
        <w:rPr>
          <w:rFonts w:ascii="Calibri" w:hAnsi="Calibri"/>
          <w:b w:val="0"/>
          <w:color w:val="2B2B2B"/>
          <w:sz w:val="22"/>
        </w:rPr>
        <w:t>, incluida la ausencia de juicio de expertos (p. 23), y recomendaciones que se derivan de ellas (pp. 124-126).</w:t>
      </w:r>
    </w:p>
    <w:p>
      <w:pPr>
        <w:spacing w:before="200" w:after="60"/>
      </w:pPr>
      <w:r>
        <w:rPr>
          <w:rFonts w:ascii="Calibri" w:hAnsi="Calibri"/>
          <w:b/>
          <w:color w:val="007433"/>
          <w:sz w:val="32"/>
        </w:rPr>
        <w:t>4. OBSERVACIONES DEL DOCUMENTO — debilidades y huecos (con página)</w:t>
      </w:r>
    </w:p>
    <w:p>
      <w:r>
        <w:rPr>
          <w:rFonts w:ascii="Calibri" w:hAnsi="Calibri"/>
          <w:i/>
          <w:color w:val="2B2B2B"/>
          <w:sz w:val="22"/>
        </w:rPr>
        <w:t>Los reparos que nacen en el mazo —los tres porcentajes inventados, el techo que sube, el producto que no se proyecta y el título que cambia— están en la §5. Aquí queda sólo lo que se sostiene con el documento en la mano.</w:t>
      </w:r>
    </w:p>
    <w:p>
      <w:r>
        <w:rPr>
          <w:rFonts w:ascii="Calibri" w:hAnsi="Calibri"/>
          <w:b/>
          <w:color w:val="2B2B2B"/>
          <w:sz w:val="22"/>
        </w:rPr>
        <w:t>A. El corpus tiene cuatro duplicados.</w:t>
      </w:r>
      <w:r>
        <w:rPr>
          <w:rFonts w:ascii="Calibri" w:hAnsi="Calibri"/>
          <w:b w:val="0"/>
          <w:color w:val="2B2B2B"/>
          <w:sz w:val="22"/>
        </w:rPr>
        <w:t xml:space="preserve"> En la Tabla 3 aparecen dos veces las mismas cuatro fuentes: IEA 2022 como </w:t>
      </w:r>
      <w:r>
        <w:rPr>
          <w:rFonts w:ascii="Calibri" w:hAnsi="Calibri"/>
          <w:b/>
          <w:color w:val="2B2B2B"/>
          <w:sz w:val="22"/>
        </w:rPr>
        <w:t>D06</w:t>
      </w:r>
      <w:r>
        <w:rPr>
          <w:rFonts w:ascii="Calibri" w:hAnsi="Calibri"/>
          <w:b w:val="0"/>
          <w:color w:val="2B2B2B"/>
          <w:sz w:val="22"/>
        </w:rPr>
        <w:t xml:space="preserve"> y como </w:t>
      </w:r>
      <w:r>
        <w:rPr>
          <w:rFonts w:ascii="Calibri" w:hAnsi="Calibri"/>
          <w:b/>
          <w:color w:val="2B2B2B"/>
          <w:sz w:val="22"/>
        </w:rPr>
        <w:t>D16</w:t>
      </w:r>
      <w:r>
        <w:rPr>
          <w:rFonts w:ascii="Calibri" w:hAnsi="Calibri"/>
          <w:b w:val="0"/>
          <w:color w:val="2B2B2B"/>
          <w:sz w:val="22"/>
        </w:rPr>
        <w:t xml:space="preserve">, Verhoef et al. 2021 como </w:t>
      </w:r>
      <w:r>
        <w:rPr>
          <w:rFonts w:ascii="Calibri" w:hAnsi="Calibri"/>
          <w:b/>
          <w:color w:val="2B2B2B"/>
          <w:sz w:val="22"/>
        </w:rPr>
        <w:t>D07</w:t>
      </w:r>
      <w:r>
        <w:rPr>
          <w:rFonts w:ascii="Calibri" w:hAnsi="Calibri"/>
          <w:b w:val="0"/>
          <w:color w:val="2B2B2B"/>
          <w:sz w:val="22"/>
        </w:rPr>
        <w:t xml:space="preserve"> y </w:t>
      </w:r>
      <w:r>
        <w:rPr>
          <w:rFonts w:ascii="Calibri" w:hAnsi="Calibri"/>
          <w:b/>
          <w:color w:val="2B2B2B"/>
          <w:sz w:val="22"/>
        </w:rPr>
        <w:t>D19</w:t>
      </w:r>
      <w:r>
        <w:rPr>
          <w:rFonts w:ascii="Calibri" w:hAnsi="Calibri"/>
          <w:b w:val="0"/>
          <w:color w:val="2B2B2B"/>
          <w:sz w:val="22"/>
        </w:rPr>
        <w:t xml:space="preserve">, Deloitte 2021 como </w:t>
      </w:r>
      <w:r>
        <w:rPr>
          <w:rFonts w:ascii="Calibri" w:hAnsi="Calibri"/>
          <w:b/>
          <w:color w:val="2B2B2B"/>
          <w:sz w:val="22"/>
        </w:rPr>
        <w:t>D08</w:t>
      </w:r>
      <w:r>
        <w:rPr>
          <w:rFonts w:ascii="Calibri" w:hAnsi="Calibri"/>
          <w:b w:val="0"/>
          <w:color w:val="2B2B2B"/>
          <w:sz w:val="22"/>
        </w:rPr>
        <w:t xml:space="preserve"> y </w:t>
      </w:r>
      <w:r>
        <w:rPr>
          <w:rFonts w:ascii="Calibri" w:hAnsi="Calibri"/>
          <w:b/>
          <w:color w:val="2B2B2B"/>
          <w:sz w:val="22"/>
        </w:rPr>
        <w:t>D17</w:t>
      </w:r>
      <w:r>
        <w:rPr>
          <w:rFonts w:ascii="Calibri" w:hAnsi="Calibri"/>
          <w:b w:val="0"/>
          <w:color w:val="2B2B2B"/>
          <w:sz w:val="22"/>
        </w:rPr>
        <w:t xml:space="preserve">, McKinsey 2021 como </w:t>
      </w:r>
      <w:r>
        <w:rPr>
          <w:rFonts w:ascii="Calibri" w:hAnsi="Calibri"/>
          <w:b/>
          <w:color w:val="2B2B2B"/>
          <w:sz w:val="22"/>
        </w:rPr>
        <w:t>D09</w:t>
      </w:r>
      <w:r>
        <w:rPr>
          <w:rFonts w:ascii="Calibri" w:hAnsi="Calibri"/>
          <w:b w:val="0"/>
          <w:color w:val="2B2B2B"/>
          <w:sz w:val="22"/>
        </w:rPr>
        <w:t xml:space="preserve"> y </w:t>
      </w:r>
      <w:r>
        <w:rPr>
          <w:rFonts w:ascii="Calibri" w:hAnsi="Calibri"/>
          <w:b/>
          <w:color w:val="2B2B2B"/>
          <w:sz w:val="22"/>
        </w:rPr>
        <w:t>D18</w:t>
      </w:r>
      <w:r>
        <w:rPr>
          <w:rFonts w:ascii="Calibri" w:hAnsi="Calibri"/>
          <w:b w:val="0"/>
          <w:color w:val="2B2B2B"/>
          <w:sz w:val="22"/>
        </w:rPr>
        <w:t xml:space="preserve"> (pp. 44-45). La metodología dice que se excluyeron «publicaciones duplicadas» (pp. 40-41). El corpus efectivo son </w:t>
      </w:r>
      <w:r>
        <w:rPr>
          <w:rFonts w:ascii="Calibri" w:hAnsi="Calibri"/>
          <w:b/>
          <w:color w:val="2B2B2B"/>
          <w:sz w:val="22"/>
        </w:rPr>
        <w:t>31 fuentes distintas</w:t>
      </w:r>
      <w:r>
        <w:rPr>
          <w:rFonts w:ascii="Calibri" w:hAnsi="Calibri"/>
          <w:b w:val="0"/>
          <w:color w:val="2B2B2B"/>
          <w:sz w:val="22"/>
        </w:rPr>
        <w:t xml:space="preserve">, y es justamente lo que suma la Tabla 7 de caracterización (6+8+7+5+5 = 31, p. 76), rotulada además como «cantidad aproximada» en un estudio cuyo corpus está enumerado uno por uno. El documento fija el tamaño en </w:t>
      </w:r>
      <w:r>
        <w:rPr>
          <w:rFonts w:ascii="Calibri" w:hAnsi="Calibri"/>
          <w:b/>
          <w:color w:val="2B2B2B"/>
          <w:sz w:val="22"/>
        </w:rPr>
        <w:t>35 fuentes</w:t>
      </w:r>
      <w:r>
        <w:rPr>
          <w:rFonts w:ascii="Calibri" w:hAnsi="Calibri"/>
          <w:b w:val="0"/>
          <w:color w:val="2B2B2B"/>
          <w:sz w:val="22"/>
        </w:rPr>
        <w:t xml:space="preserve"> (pp. 8 y 40); el mazo llega a decir 52 y se contradice a sí mismo una diapositiva después (§5, punto 1).</w:t>
      </w:r>
    </w:p>
    <w:p>
      <w:r>
        <w:rPr>
          <w:rFonts w:ascii="Calibri" w:hAnsi="Calibri"/>
          <w:b/>
          <w:color w:val="2B2B2B"/>
          <w:sz w:val="22"/>
        </w:rPr>
        <w:t>B. Y hay algo peor que la duplicación: los dos instrumentos usan numeraciones distintas.</w:t>
      </w:r>
      <w:r>
        <w:rPr>
          <w:rFonts w:ascii="Calibri" w:hAnsi="Calibri"/>
          <w:b w:val="0"/>
          <w:color w:val="2B2B2B"/>
          <w:sz w:val="22"/>
        </w:rPr>
        <w:t xml:space="preserve"> En la Tabla 3 (p. 44) </w:t>
      </w:r>
      <w:r>
        <w:rPr>
          <w:rFonts w:ascii="Calibri" w:hAnsi="Calibri"/>
          <w:b/>
          <w:color w:val="2B2B2B"/>
          <w:sz w:val="22"/>
        </w:rPr>
        <w:t>D06 = IEA 2022</w:t>
      </w:r>
      <w:r>
        <w:rPr>
          <w:rFonts w:ascii="Calibri" w:hAnsi="Calibri"/>
          <w:b w:val="0"/>
          <w:color w:val="2B2B2B"/>
          <w:sz w:val="22"/>
        </w:rPr>
        <w:t xml:space="preserve">, alcance Internacional, etiquetado </w:t>
      </w:r>
      <w:r>
        <w:rPr>
          <w:rFonts w:ascii="Calibri" w:hAnsi="Calibri"/>
          <w:b/>
          <w:color w:val="2B2B2B"/>
          <w:sz w:val="22"/>
        </w:rPr>
        <w:t>OE2</w:t>
      </w:r>
      <w:r>
        <w:rPr>
          <w:rFonts w:ascii="Calibri" w:hAnsi="Calibri"/>
          <w:b w:val="0"/>
          <w:color w:val="2B2B2B"/>
          <w:sz w:val="22"/>
        </w:rPr>
        <w:t xml:space="preserve">. En la Tabla 4 (p. 50) </w:t>
      </w:r>
      <w:r>
        <w:rPr>
          <w:rFonts w:ascii="Calibri" w:hAnsi="Calibri"/>
          <w:b/>
          <w:color w:val="2B2B2B"/>
          <w:sz w:val="22"/>
        </w:rPr>
        <w:t>D06 = un planteamiento del BID</w:t>
      </w:r>
      <w:r>
        <w:rPr>
          <w:rFonts w:ascii="Calibri" w:hAnsi="Calibri"/>
          <w:b w:val="0"/>
          <w:color w:val="2B2B2B"/>
          <w:sz w:val="22"/>
        </w:rPr>
        <w:t xml:space="preserve"> («El BID señala que la expansión del acceso a la energía…»), etiquetado </w:t>
      </w:r>
      <w:r>
        <w:rPr>
          <w:rFonts w:ascii="Calibri" w:hAnsi="Calibri"/>
          <w:b/>
          <w:color w:val="2B2B2B"/>
          <w:sz w:val="22"/>
        </w:rPr>
        <w:t>OE1</w:t>
      </w:r>
      <w:r>
        <w:rPr>
          <w:rFonts w:ascii="Calibri" w:hAnsi="Calibri"/>
          <w:b w:val="0"/>
          <w:color w:val="2B2B2B"/>
          <w:sz w:val="22"/>
        </w:rPr>
        <w:t>. Desde ahí la Tabla 4 corre cinco posiciones: la IEA 2022 es allí D11 (p. 52), Deloitte D12 y McKinsey D13 (p. 53), Verhoef D14 (p. 54) —cada uno una sola vez—. Las dos tablas llegan a D35 pero no describen el mismo corpus: la Tabla 4 quedó con una numeración distinta —sin las repeticiones de esos cuatro autores— que nunca se reconcilió con la Tabla 3, y las Figuras 2, 4, 5 y 6 (pp. 77-81) están rotuladas «(D01–D35)» sin decir cuál de las dos numeraciones usan. Esto contradice de frente la trazabilidad que el propio documento reivindica en las pp. 43 y 66, y es la primera pregunta de la §6.</w:t>
      </w:r>
    </w:p>
    <w:p>
      <w:r>
        <w:rPr>
          <w:rFonts w:ascii="Calibri" w:hAnsi="Calibri"/>
          <w:b/>
          <w:color w:val="2B2B2B"/>
          <w:sz w:val="22"/>
        </w:rPr>
        <w:t>C. El anclaje al Valle del Cauca no está sostenido por el corpus.</w:t>
      </w:r>
      <w:r>
        <w:rPr>
          <w:rFonts w:ascii="Calibri" w:hAnsi="Calibri"/>
          <w:b w:val="0"/>
          <w:color w:val="2B2B2B"/>
          <w:sz w:val="22"/>
        </w:rPr>
        <w:t xml:space="preserve"> En las pp. 43-48 la palabra «Valle» no aparece ni una vez, y «regionales» sólo aparece como «Organismos regionales» (CEPAL, BID). Las fuentes propiamente del Valle —Gobernación del Valle del Cauca (2024), CVC (2024), DANE (2024)— están en la lista de referencias (p. 127) pero </w:t>
      </w:r>
      <w:r>
        <w:rPr>
          <w:rFonts w:ascii="Calibri" w:hAnsi="Calibri"/>
          <w:b/>
          <w:color w:val="2B2B2B"/>
          <w:sz w:val="22"/>
        </w:rPr>
        <w:t>no entran al corpus ni se citan en el cuerpo</w:t>
      </w:r>
      <w:r>
        <w:rPr>
          <w:rFonts w:ascii="Calibri" w:hAnsi="Calibri"/>
          <w:b w:val="0"/>
          <w:color w:val="2B2B2B"/>
          <w:sz w:val="22"/>
        </w:rPr>
        <w:t>. Aun así, la p. 77 afirma que la inclusión de documentos «nacionales y regionales» permitió contextualizar el análisis «particularmente, al contexto del Valle del Cauca». El documento se corrige a sí mismo en la p. 75 y en la limitación de la p. 23, pero la afirmación de la p. 77 queda en pie. El mazo no matiza nada: proyecta el Valle del Cauca en siete de sus diez diapositivas con contenido, siempre sin una fuente detrás (§5, punto 8).</w:t>
      </w:r>
    </w:p>
    <w:p>
      <w:r>
        <w:rPr>
          <w:rFonts w:ascii="Calibri" w:hAnsi="Calibri"/>
          <w:b/>
          <w:color w:val="2B2B2B"/>
          <w:sz w:val="22"/>
        </w:rPr>
        <w:t>D. Referencias que nadie usó, y algunas sin año.</w:t>
      </w:r>
      <w:r>
        <w:rPr>
          <w:rFonts w:ascii="Calibri" w:hAnsi="Calibri"/>
          <w:b w:val="0"/>
          <w:color w:val="2B2B2B"/>
          <w:sz w:val="22"/>
        </w:rPr>
        <w:t xml:space="preserve"> La lista (pp. 127-129) tiene del orden de 54 entradas frente a 31-35 fuentes analizadas. DANE, UPME (Plan Energético Nacional 2022-2052), CVC (PGAR) e IPSE aparecen </w:t>
      </w:r>
      <w:r>
        <w:rPr>
          <w:rFonts w:ascii="Calibri" w:hAnsi="Calibri"/>
          <w:b/>
          <w:color w:val="2B2B2B"/>
          <w:sz w:val="22"/>
        </w:rPr>
        <w:t>sin año</w:t>
      </w:r>
      <w:r>
        <w:rPr>
          <w:rFonts w:ascii="Calibri" w:hAnsi="Calibri"/>
          <w:b w:val="0"/>
          <w:color w:val="2B2B2B"/>
          <w:sz w:val="22"/>
        </w:rPr>
        <w:t xml:space="preserve">, y una entrada arrastra una nota de trabajo sin borrar: «(o documento oficial vigente)» (p. 127). La lista no está alfabetizada (abre con Gobernación del Valle del Cauca). Y hay dos ausencias que llaman la atención: </w:t>
      </w:r>
      <w:r>
        <w:rPr>
          <w:rFonts w:ascii="Calibri" w:hAnsi="Calibri"/>
          <w:b/>
          <w:color w:val="2B2B2B"/>
          <w:sz w:val="22"/>
        </w:rPr>
        <w:t>Lara-Vargas et al. (2025)</w:t>
      </w:r>
      <w:r>
        <w:rPr>
          <w:rFonts w:ascii="Calibri" w:hAnsi="Calibri"/>
          <w:b w:val="0"/>
          <w:color w:val="2B2B2B"/>
          <w:sz w:val="22"/>
        </w:rPr>
        <w:t xml:space="preserve">, monitoreo IoT de bajo costo en plantas solares en Montería, y </w:t>
      </w:r>
      <w:r>
        <w:rPr>
          <w:rFonts w:ascii="Calibri" w:hAnsi="Calibri"/>
          <w:b/>
          <w:color w:val="2B2B2B"/>
          <w:sz w:val="22"/>
        </w:rPr>
        <w:t>Rodríguez Zabala et al. (2021)</w:t>
      </w:r>
      <w:r>
        <w:rPr>
          <w:rFonts w:ascii="Calibri" w:hAnsi="Calibri"/>
          <w:b w:val="0"/>
          <w:color w:val="2B2B2B"/>
          <w:sz w:val="22"/>
        </w:rPr>
        <w:t xml:space="preserve">, sostenibilidad de microrredes aisladas colombianas (pp. 127-128), los dos estudios colombianos más cercanos al objeto, figuran en la lista y </w:t>
      </w:r>
      <w:r>
        <w:rPr>
          <w:rFonts w:ascii="Calibri" w:hAnsi="Calibri"/>
          <w:b/>
          <w:color w:val="2B2B2B"/>
          <w:sz w:val="22"/>
        </w:rPr>
        <w:t>no</w:t>
      </w:r>
      <w:r>
        <w:rPr>
          <w:rFonts w:ascii="Calibri" w:hAnsi="Calibri"/>
          <w:b w:val="0"/>
          <w:color w:val="2B2B2B"/>
          <w:sz w:val="22"/>
        </w:rPr>
        <w:t xml:space="preserve"> en el corpus D01–D35. El mazo hereda el problema y le añade dos propios: una lista de referencias que se detiene en la letra M y otra que no cabe en la diapositiva (§5, puntos 10 a 12).</w:t>
      </w:r>
    </w:p>
    <w:p>
      <w:r>
        <w:rPr>
          <w:rFonts w:ascii="Calibri" w:hAnsi="Calibri"/>
          <w:b/>
          <w:color w:val="2B2B2B"/>
          <w:sz w:val="22"/>
        </w:rPr>
        <w:t>E. Ningún contraste del modelo.</w:t>
      </w:r>
      <w:r>
        <w:rPr>
          <w:rFonts w:ascii="Calibri" w:hAnsi="Calibri"/>
          <w:b w:val="0"/>
          <w:color w:val="2B2B2B"/>
          <w:sz w:val="22"/>
        </w:rPr>
        <w:t xml:space="preserve"> El documento lo declara sin rodeos: la propuesta «no fue sometida a implementación piloto, pruebas de funcionamiento ni juicio de expertos» (p. 23). Para una especialización profesionalizante no se exige validación externa de instrumentos, pero un panel de tres expertos del sector era barato, viable en el semestre y habría convertido un modelo plausible en un modelo contrastado. </w:t>
      </w:r>
      <w:r>
        <w:rPr>
          <w:rFonts w:ascii="Calibri" w:hAnsi="Calibri"/>
          <w:b/>
          <w:color w:val="2B2B2B"/>
          <w:sz w:val="22"/>
        </w:rPr>
        <w:t>Esto es lo que marca el techo de la nota</w:t>
      </w:r>
      <w:r>
        <w:rPr>
          <w:rFonts w:ascii="Calibri" w:hAnsi="Calibri"/>
          <w:b w:val="0"/>
          <w:color w:val="2B2B2B"/>
          <w:sz w:val="22"/>
        </w:rPr>
        <w:t>, no las erratas. Su propia diapositiva 9 lo recomienda para el futuro —«realizar pilotos y evaluaciones continuas para validar y escalar el modelo»—, así que saben perfectamente lo que falta (§5, punto 9).</w:t>
      </w:r>
    </w:p>
    <w:p>
      <w:r>
        <w:rPr>
          <w:rFonts w:ascii="Calibri" w:hAnsi="Calibri"/>
          <w:b/>
          <w:color w:val="2B2B2B"/>
          <w:sz w:val="22"/>
        </w:rPr>
        <w:t>F. Veinticuatro páginas de matriz cruda dentro de metodología</w:t>
      </w:r>
      <w:r>
        <w:rPr>
          <w:rFonts w:ascii="Calibri" w:hAnsi="Calibri"/>
          <w:b w:val="0"/>
          <w:color w:val="2B2B2B"/>
          <w:sz w:val="22"/>
        </w:rPr>
        <w:t xml:space="preserve"> (pp. 43-66), sin sección de Anexos en el contenido (pp. 3-5). La transparencia es una fortaleza (punto 3 arriba), pero el lugar es discutible: el instrumento ocupa una quinta parte del documento y parte el capítulo 7 en dos.</w:t>
      </w:r>
    </w:p>
    <w:p>
      <w:r>
        <w:rPr>
          <w:rFonts w:ascii="Calibri" w:hAnsi="Calibri"/>
          <w:b/>
          <w:color w:val="2B2B2B"/>
          <w:sz w:val="22"/>
        </w:rPr>
        <w:t>G. No hay reporte de similitud ni declaración de uso de IA generativa.</w:t>
      </w:r>
      <w:r>
        <w:rPr>
          <w:rFonts w:ascii="Calibri" w:hAnsi="Calibri"/>
          <w:b w:val="0"/>
          <w:color w:val="2B2B2B"/>
          <w:sz w:val="22"/>
        </w:rPr>
        <w:t xml:space="preserve"> Buscado en preliminares (pp. 11-12) y en todo el texto: no aparece Turnitin, porcentaje de similitud ni declaración sobre herramientas de IA. Es asunto del metodólogo, no criterio del jurado; se anota en la sección 8.</w:t>
      </w:r>
    </w:p>
    <w:p>
      <w:r>
        <w:rPr>
          <w:rFonts w:ascii="Calibri" w:hAnsi="Calibri"/>
          <w:b/>
          <w:color w:val="2B2B2B"/>
          <w:sz w:val="22"/>
        </w:rPr>
        <w:t>Forma (no se pregunta en sala).</w:t>
      </w:r>
      <w:r>
        <w:rPr>
          <w:rFonts w:ascii="Calibri" w:hAnsi="Calibri"/>
          <w:b w:val="0"/>
          <w:color w:val="2B2B2B"/>
          <w:sz w:val="22"/>
        </w:rPr>
        <w:t xml:space="preserve"> La p. 17 arrastra un «(2024-2025)» incrustado en mitad de una frase. Las erratas del mazo están al final de la §5, en su propio párrafo.</w:t>
      </w:r>
    </w:p>
    <w:p>
      <w:pPr>
        <w:spacing w:before="200" w:after="60"/>
      </w:pPr>
      <w:r>
        <w:rPr>
          <w:rFonts w:ascii="Calibri" w:hAnsi="Calibri"/>
          <w:b/>
          <w:color w:val="007433"/>
          <w:sz w:val="32"/>
        </w:rPr>
        <w:t>5. OBSERVACIONES DE LAS DIAPOSITIVAS — qué proyectan y en qué se separan del documento</w:t>
      </w:r>
    </w:p>
    <w:p>
      <w:r>
        <w:rPr>
          <w:rFonts w:ascii="Calibri" w:hAnsi="Calibri"/>
          <w:b/>
          <w:color w:val="2B2B2B"/>
          <w:sz w:val="22"/>
        </w:rPr>
        <w:t>Mazo:</w:t>
      </w:r>
      <w:r>
        <w:rPr>
          <w:rFonts w:ascii="Calibri" w:hAnsi="Calibri"/>
          <w:b w:val="0"/>
          <w:color w:val="2B2B2B"/>
          <w:sz w:val="22"/>
        </w:rPr>
        <w:t xml:space="preserve"> </w:t>
      </w:r>
      <w:r>
        <w:rPr>
          <w:rFonts w:ascii="Consolas" w:hAnsi="Consolas"/>
          <w:color w:val="111111"/>
          <w:sz w:val="21"/>
        </w:rPr>
        <w:t>ACA_3_Proyecto de Grado_ plantilla de presentacion..pdf</w:t>
      </w:r>
      <w:r>
        <w:rPr>
          <w:rFonts w:ascii="Calibri" w:hAnsi="Calibri"/>
          <w:b w:val="0"/>
          <w:color w:val="2B2B2B"/>
          <w:sz w:val="22"/>
        </w:rPr>
        <w:t xml:space="preserve"> — </w:t>
      </w:r>
      <w:r>
        <w:rPr>
          <w:rFonts w:ascii="Calibri" w:hAnsi="Calibri"/>
          <w:b/>
          <w:color w:val="2B2B2B"/>
          <w:sz w:val="22"/>
        </w:rPr>
        <w:t>12 diapositivas</w:t>
      </w:r>
      <w:r>
        <w:rPr>
          <w:rFonts w:ascii="Calibri" w:hAnsi="Calibri"/>
          <w:b w:val="0"/>
          <w:color w:val="2B2B2B"/>
          <w:sz w:val="22"/>
        </w:rPr>
        <w:t xml:space="preserve"> (1 portada · 2 introducción: contexto e importancia · 3 planteamiento del problema y pregunta central · 4 objetivos general y específicos · 5 justificación, siete bloques · 6 marco referencial: la rueda de teorías, antecedentes y conceptos clave · 7 metodología · 8 discusión, resultados y aportes · 9 conclusiones, recomendaciones e implicaciones · 10 referencias bibliográficas · 11 divisor «Preguntas» de plantilla · 12 divisor «Recursos adicionales» de plantilla). El PDF tiene 141 páginas: desde la 13 trae pegado el documento completo, así que </w:t>
      </w:r>
      <w:r>
        <w:rPr>
          <w:rFonts w:ascii="Calibri" w:hAnsi="Calibri"/>
          <w:b/>
          <w:color w:val="2B2B2B"/>
          <w:sz w:val="22"/>
        </w:rPr>
        <w:t>hay que pararse en la 12</w:t>
      </w:r>
      <w:r>
        <w:rPr>
          <w:rFonts w:ascii="Calibri" w:hAnsi="Calibri"/>
          <w:b w:val="0"/>
          <w:color w:val="2B2B2B"/>
          <w:sz w:val="22"/>
        </w:rPr>
        <w:t xml:space="preserve"> (§9, punto 4).</w:t>
      </w:r>
    </w:p>
    <w:p>
      <w:r>
        <w:rPr>
          <w:rFonts w:ascii="Calibri" w:hAnsi="Calibri"/>
          <w:b w:val="0"/>
          <w:color w:val="2B2B2B"/>
          <w:sz w:val="22"/>
        </w:rPr>
        <w:t xml:space="preserve">Este mazo hace lo contrario de lo que hace el documento. El documento es honesto con sus límites —declara que no hubo piloto, ni pruebas, ni juicio de expertos (p. 23), y que sus resultados esperados «no deben interpretarse como efectos comprobados» (p. 123)—; la pantalla sube el techo: añade tres porcentajes que no existen, un cuarto tamaño del corpus, una cuarta redacción del modelo, unos ODS que no aparecen en ninguna página y un título y una pregunta propios. Y al mismo tiempo deja fuera el producto: el modelo de cinco componentes, la arquitectura de seis etapas, los siete riesgos y las dos rutas no llegan a proyectarse. El resumen operativo para la sala es incómodo y hay que tenerlo claro antes de entrar: </w:t>
      </w:r>
      <w:r>
        <w:rPr>
          <w:rFonts w:ascii="Calibri" w:hAnsi="Calibri"/>
          <w:b/>
          <w:color w:val="2B2B2B"/>
          <w:sz w:val="22"/>
        </w:rPr>
        <w:t>lo que el jurado va a ver exagera, y lo que sostiene la nota se queda fuera de la pantalla</w:t>
      </w:r>
      <w:r>
        <w:rPr>
          <w:rFonts w:ascii="Calibri" w:hAnsi="Calibri"/>
          <w:b w:val="0"/>
          <w:color w:val="2B2B2B"/>
          <w:sz w:val="22"/>
        </w:rPr>
        <w:t>. Por eso dos de las tres preguntas prioritarias hay que hacerlas con el documento abierto, no señalando la proyección.</w:t>
      </w:r>
    </w:p>
    <w:p>
      <w:pPr>
        <w:pStyle w:val="ListNumber"/>
      </w:pPr>
      <w:r>
        <w:rPr>
          <w:rFonts w:ascii="Calibri" w:hAnsi="Calibri"/>
          <w:b/>
          <w:color w:val="2B2B2B"/>
          <w:sz w:val="22"/>
        </w:rPr>
        <w:t>La cifra del corpus cambia dentro del propio mazo.</w:t>
      </w:r>
      <w:r>
        <w:rPr>
          <w:rFonts w:ascii="Calibri" w:hAnsi="Calibri"/>
          <w:b w:val="0"/>
          <w:color w:val="2B2B2B"/>
          <w:sz w:val="22"/>
        </w:rPr>
        <w:t xml:space="preserve"> La diapositiva 7 dice </w:t>
      </w:r>
      <w:r>
        <w:rPr>
          <w:rFonts w:ascii="Calibri" w:hAnsi="Calibri"/>
          <w:b/>
          <w:color w:val="2B2B2B"/>
          <w:sz w:val="22"/>
        </w:rPr>
        <w:t>52 fuentes</w:t>
      </w:r>
      <w:r>
        <w:rPr>
          <w:rFonts w:ascii="Calibri" w:hAnsi="Calibri"/>
          <w:b w:val="0"/>
          <w:color w:val="2B2B2B"/>
          <w:sz w:val="22"/>
        </w:rPr>
        <w:t xml:space="preserve"> tres veces en la misma pantalla —en la línea de entrada, en «7.3 Unidad de análisis: 52 fuentes documentales» y en el «EN SÍNTESIS»— y la diapositiva 8, la siguiente, abre con «Se analizaron 35 fuentes (D01–D35)». Con el documento son cuatro cifras para el mismo corpus: 52 y 35 en el mazo, 35 en el texto (pp. 8 y 40) y 31 en la suma de la Tabla 7 (p. 76). Esa línea de la 8 es además la única mención de los códigos D01–D35 en las doce diapositivas: la matriz que es la mayor fortaleza del trabajo no se proyecta nunca.</w:t>
      </w:r>
    </w:p>
    <w:p>
      <w:pPr>
        <w:pStyle w:val="ListNumber"/>
      </w:pPr>
      <w:r>
        <w:rPr>
          <w:rFonts w:ascii="Calibri" w:hAnsi="Calibri"/>
          <w:b/>
          <w:color w:val="2B2B2B"/>
          <w:sz w:val="22"/>
        </w:rPr>
        <w:t>Los tres porcentajes de la diapositiva 8 no existen en el documento.</w:t>
      </w:r>
      <w:r>
        <w:rPr>
          <w:rFonts w:ascii="Calibri" w:hAnsi="Calibri"/>
          <w:b w:val="0"/>
          <w:color w:val="2B2B2B"/>
          <w:sz w:val="22"/>
        </w:rPr>
        <w:t xml:space="preserve"> «87% de los documentos destacan la energía solar como la tecnología más viable», «81% enfatizan el rol de las herramientas digitales» y «76% señalan que la integración mejora la eficiencia, reducción de costos y sostenibilidad», los tres con su icono, en la columna «1. RESULTADOS CLAVE». El signo «%» no aparece ni una vez en el texto de las 129 páginas; los únicos porcentajes están dentro de las imágenes de las Figuras 2, 4, 5, 6 y 7 y son otros; y la p. 42 declara que la codificación «no se utilizó como un procedimiento de análisis estadístico». Es la </w:t>
      </w:r>
      <w:r>
        <w:rPr>
          <w:rFonts w:ascii="Calibri" w:hAnsi="Calibri"/>
          <w:b/>
          <w:color w:val="2B2B2B"/>
          <w:sz w:val="22"/>
        </w:rPr>
        <w:t>pregunta prioritaria 3</w:t>
      </w:r>
      <w:r>
        <w:rPr>
          <w:rFonts w:ascii="Calibri" w:hAnsi="Calibri"/>
          <w:b w:val="0"/>
          <w:color w:val="2B2B2B"/>
          <w:sz w:val="22"/>
        </w:rPr>
        <w:t>, y es la única que se hace mejor con la pantalla que con el documento: la diapositiva enseña el número y no la fuente.</w:t>
      </w:r>
    </w:p>
    <w:p>
      <w:pPr>
        <w:pStyle w:val="ListNumber"/>
      </w:pPr>
      <w:r>
        <w:rPr>
          <w:rFonts w:ascii="Calibri" w:hAnsi="Calibri"/>
          <w:b/>
          <w:color w:val="2B2B2B"/>
          <w:sz w:val="22"/>
        </w:rPr>
        <w:t>El producto del OE4 no se proyecta.</w:t>
      </w:r>
      <w:r>
        <w:rPr>
          <w:rFonts w:ascii="Calibri" w:hAnsi="Calibri"/>
          <w:b w:val="0"/>
          <w:color w:val="2B2B2B"/>
          <w:sz w:val="22"/>
        </w:rPr>
        <w:t xml:space="preserve"> En las doce diapositivas no está el modelo de cinco componentes (Tabla 18, pp. 106-107), ni la arquitectura conceptual de datos e IoT de seis etapas (Figura 11, p. 110), ni la Tabla 19 de siete riesgos con sus alternativas (pp. 113-114), ni la ruta de aplicación (Figura 12, p. 116), ni la ruta de construcción (Figura 10, p. 102). Lo único rotulado «modelo conceptual» en pantalla es el centro de la rueda de la diapositiva 6, que organiza teorías, antecedentes y conceptos clave: es el </w:t>
      </w:r>
      <w:r>
        <w:rPr>
          <w:rFonts w:ascii="Calibri" w:hAnsi="Calibri"/>
          <w:b/>
          <w:color w:val="2B2B2B"/>
          <w:sz w:val="22"/>
        </w:rPr>
        <w:t>marco referencial</w:t>
      </w:r>
      <w:r>
        <w:rPr>
          <w:rFonts w:ascii="Calibri" w:hAnsi="Calibri"/>
          <w:b w:val="0"/>
          <w:color w:val="2B2B2B"/>
          <w:sz w:val="22"/>
        </w:rPr>
        <w:t>, no el resultado. Lo mejor del trabajo se queda fuera de la proyección, y es justamente lo que sostiene el criterio 4 de la §8.1. De ahí la primera condicional de la §7: si no lo muestran, hay que pedirles que lo describan.</w:t>
      </w:r>
    </w:p>
    <w:p>
      <w:pPr>
        <w:pStyle w:val="ListNumber"/>
      </w:pPr>
      <w:r>
        <w:rPr>
          <w:rFonts w:ascii="Calibri" w:hAnsi="Calibri"/>
          <w:b/>
          <w:color w:val="2B2B2B"/>
          <w:sz w:val="22"/>
        </w:rPr>
        <w:t>La única descripción del modelo que llega a pantalla es una lista de adjetivos que no está en el documento.</w:t>
      </w:r>
      <w:r>
        <w:rPr>
          <w:rFonts w:ascii="Calibri" w:hAnsi="Calibri"/>
          <w:b w:val="0"/>
          <w:color w:val="2B2B2B"/>
          <w:sz w:val="22"/>
        </w:rPr>
        <w:t xml:space="preserve"> Quinta conclusión de la diapositiva 9: «El modelo conceptual integra dimensiones </w:t>
      </w:r>
      <w:r>
        <w:rPr>
          <w:rFonts w:ascii="Calibri" w:hAnsi="Calibri"/>
          <w:b/>
          <w:color w:val="2B2B2B"/>
          <w:sz w:val="22"/>
        </w:rPr>
        <w:t>técnicas, organizacionales, ambientales y sociales</w:t>
      </w:r>
      <w:r>
        <w:rPr>
          <w:rFonts w:ascii="Calibri" w:hAnsi="Calibri"/>
          <w:b w:val="0"/>
          <w:color w:val="2B2B2B"/>
          <w:sz w:val="22"/>
        </w:rPr>
        <w:t xml:space="preserve">, adaptadas al contexto rural del Valle del Cauca». El documento organiza el modelo en </w:t>
      </w:r>
      <w:r>
        <w:rPr>
          <w:rFonts w:ascii="Calibri" w:hAnsi="Calibri"/>
          <w:b/>
          <w:color w:val="2B2B2B"/>
          <w:sz w:val="22"/>
        </w:rPr>
        <w:t>cinco componentes estructurales</w:t>
      </w:r>
      <w:r>
        <w:rPr>
          <w:rFonts w:ascii="Calibri" w:hAnsi="Calibri"/>
          <w:b w:val="0"/>
          <w:color w:val="2B2B2B"/>
          <w:sz w:val="22"/>
        </w:rPr>
        <w:t xml:space="preserve"> (pp. 104 y 122) y, una página antes, en «</w:t>
      </w:r>
      <w:r>
        <w:rPr>
          <w:rFonts w:ascii="Calibri" w:hAnsi="Calibri"/>
          <w:b/>
          <w:color w:val="2B2B2B"/>
          <w:sz w:val="22"/>
        </w:rPr>
        <w:t>cuatro dimensiones</w:t>
      </w:r>
      <w:r>
        <w:rPr>
          <w:rFonts w:ascii="Calibri" w:hAnsi="Calibri"/>
          <w:b w:val="0"/>
          <w:color w:val="2B2B2B"/>
          <w:sz w:val="22"/>
        </w:rPr>
        <w:t xml:space="preserve">: infraestructura energética, herramientas de transformación digital, gestión energética inteligente y condiciones habilitadoras» (p. 103). La expresión «ambientales y sociales» no aparece en ninguna de las 129 páginas. Es decir: la contradicción de la reserva nº 5 —cuatro contra cinco— se proyecta con una </w:t>
      </w:r>
      <w:r>
        <w:rPr>
          <w:rFonts w:ascii="Calibri" w:hAnsi="Calibri"/>
          <w:b/>
          <w:color w:val="2B2B2B"/>
          <w:sz w:val="22"/>
        </w:rPr>
        <w:t>tercera</w:t>
      </w:r>
      <w:r>
        <w:rPr>
          <w:rFonts w:ascii="Calibri" w:hAnsi="Calibri"/>
          <w:b w:val="0"/>
          <w:color w:val="2B2B2B"/>
          <w:sz w:val="22"/>
        </w:rPr>
        <w:t xml:space="preserve"> redacción encima, y ninguna de las tres nombra los componentes reales.</w:t>
      </w:r>
    </w:p>
    <w:p>
      <w:pPr>
        <w:pStyle w:val="ListNumber"/>
      </w:pPr>
      <w:r>
        <w:rPr>
          <w:rFonts w:ascii="Calibri" w:hAnsi="Calibri"/>
          <w:b/>
          <w:color w:val="2B2B2B"/>
          <w:sz w:val="22"/>
        </w:rPr>
        <w:t>La diapositiva 9 concluye lo que el documento no evalúa.</w:t>
      </w:r>
      <w:r>
        <w:rPr>
          <w:rFonts w:ascii="Calibri" w:hAnsi="Calibri"/>
          <w:b w:val="0"/>
          <w:color w:val="2B2B2B"/>
          <w:sz w:val="22"/>
        </w:rPr>
        <w:t xml:space="preserve"> «La energía solar fotovoltaica es la opción </w:t>
      </w:r>
      <w:r>
        <w:rPr>
          <w:rFonts w:ascii="Calibri" w:hAnsi="Calibri"/>
          <w:b/>
          <w:color w:val="2B2B2B"/>
          <w:sz w:val="22"/>
        </w:rPr>
        <w:t>más viable</w:t>
      </w:r>
      <w:r>
        <w:rPr>
          <w:rFonts w:ascii="Calibri" w:hAnsi="Calibri"/>
          <w:b w:val="0"/>
          <w:color w:val="2B2B2B"/>
          <w:sz w:val="22"/>
        </w:rPr>
        <w:t xml:space="preserve"> … por su disponibilidad, </w:t>
      </w:r>
      <w:r>
        <w:rPr>
          <w:rFonts w:ascii="Calibri" w:hAnsi="Calibri"/>
          <w:b/>
          <w:color w:val="2B2B2B"/>
          <w:sz w:val="22"/>
        </w:rPr>
        <w:t>escalabilidad</w:t>
      </w:r>
      <w:r>
        <w:rPr>
          <w:rFonts w:ascii="Calibri" w:hAnsi="Calibri"/>
          <w:b w:val="0"/>
          <w:color w:val="2B2B2B"/>
          <w:sz w:val="22"/>
        </w:rPr>
        <w:t xml:space="preserve"> y </w:t>
      </w:r>
      <w:r>
        <w:rPr>
          <w:rFonts w:ascii="Calibri" w:hAnsi="Calibri"/>
          <w:b/>
          <w:color w:val="2B2B2B"/>
          <w:sz w:val="22"/>
        </w:rPr>
        <w:t>reducción de costos</w:t>
      </w:r>
      <w:r>
        <w:rPr>
          <w:rFonts w:ascii="Calibri" w:hAnsi="Calibri"/>
          <w:b w:val="0"/>
          <w:color w:val="2B2B2B"/>
          <w:sz w:val="22"/>
        </w:rPr>
        <w:t xml:space="preserve">»: «reducción de costos» da cero coincidencias en las 129 páginas, «escalabilidad» aparece una sola vez y en la introducción (p. 13), y la evaluación técnica y económica queda declarada como recomendación para futuras investigaciones (p. 125). Y la última implicación dice «Aporta al cumplimiento de los Objetivos de Desarrollo Sostenible (ODS), especialmente </w:t>
      </w:r>
      <w:r>
        <w:rPr>
          <w:rFonts w:ascii="Calibri" w:hAnsi="Calibri"/>
          <w:b/>
          <w:color w:val="2B2B2B"/>
          <w:sz w:val="22"/>
        </w:rPr>
        <w:t>ODS 7, 9 y 11</w:t>
      </w:r>
      <w:r>
        <w:rPr>
          <w:rFonts w:ascii="Calibri" w:hAnsi="Calibri"/>
          <w:b w:val="0"/>
          <w:color w:val="2B2B2B"/>
          <w:sz w:val="22"/>
        </w:rPr>
        <w:t>»: ni «ODS» ni «Objetivos de Desarrollo» aparecen en el documento. Son dos afirmaciones que nacen en la pantalla, y las dos tienen su condicional en la §7.</w:t>
      </w:r>
    </w:p>
    <w:p>
      <w:pPr>
        <w:pStyle w:val="ListNumber"/>
      </w:pPr>
      <w:r>
        <w:rPr>
          <w:rFonts w:ascii="Calibri" w:hAnsi="Calibri"/>
          <w:b/>
          <w:color w:val="2B2B2B"/>
          <w:sz w:val="22"/>
        </w:rPr>
        <w:t>La diapositiva 8 le cambia el verbo al trabajo.</w:t>
      </w:r>
      <w:r>
        <w:rPr>
          <w:rFonts w:ascii="Calibri" w:hAnsi="Calibri"/>
          <w:b w:val="0"/>
          <w:color w:val="2B2B2B"/>
          <w:sz w:val="22"/>
        </w:rPr>
        <w:t xml:space="preserve"> Cierra con «EN CONCLUSIÓN: los resultados </w:t>
      </w:r>
      <w:r>
        <w:rPr>
          <w:rFonts w:ascii="Calibri" w:hAnsi="Calibri"/>
          <w:b/>
          <w:color w:val="2B2B2B"/>
          <w:sz w:val="22"/>
        </w:rPr>
        <w:t>confirman</w:t>
      </w:r>
      <w:r>
        <w:rPr>
          <w:rFonts w:ascii="Calibri" w:hAnsi="Calibri"/>
          <w:b w:val="0"/>
          <w:color w:val="2B2B2B"/>
          <w:sz w:val="22"/>
        </w:rPr>
        <w:t xml:space="preserve"> que la integración … </w:t>
      </w:r>
      <w:r>
        <w:rPr>
          <w:rFonts w:ascii="Calibri" w:hAnsi="Calibri"/>
          <w:b/>
          <w:color w:val="2B2B2B"/>
          <w:sz w:val="22"/>
        </w:rPr>
        <w:t>optimiza</w:t>
      </w:r>
      <w:r>
        <w:rPr>
          <w:rFonts w:ascii="Calibri" w:hAnsi="Calibri"/>
          <w:b w:val="0"/>
          <w:color w:val="2B2B2B"/>
          <w:sz w:val="22"/>
        </w:rPr>
        <w:t xml:space="preserve"> la gestión energética», cuando el documento marca sus resultados como no comprobados en cuatro páginas distintas (105, 106, 119 y 123) y su objetivo general es «</w:t>
      </w:r>
      <w:r>
        <w:rPr>
          <w:rFonts w:ascii="Calibri" w:hAnsi="Calibri"/>
          <w:b/>
          <w:color w:val="2B2B2B"/>
          <w:sz w:val="22"/>
        </w:rPr>
        <w:t>proponer</w:t>
      </w:r>
      <w:r>
        <w:rPr>
          <w:rFonts w:ascii="Calibri" w:hAnsi="Calibri"/>
          <w:b w:val="0"/>
          <w:color w:val="2B2B2B"/>
          <w:sz w:val="22"/>
        </w:rPr>
        <w:t xml:space="preserve">» (p. 19). En la misma diapositiva, «APORTE PRÁCTICO: Ofrece lineamientos para el diseño </w:t>
      </w:r>
      <w:r>
        <w:rPr>
          <w:rFonts w:ascii="Calibri" w:hAnsi="Calibri"/>
          <w:b/>
          <w:color w:val="2B2B2B"/>
          <w:sz w:val="22"/>
        </w:rPr>
        <w:t>e implementación</w:t>
      </w:r>
      <w:r>
        <w:rPr>
          <w:rFonts w:ascii="Calibri" w:hAnsi="Calibri"/>
          <w:b w:val="0"/>
          <w:color w:val="2B2B2B"/>
          <w:sz w:val="22"/>
        </w:rPr>
        <w:t xml:space="preserve"> de sistemas de gestión energética inteligente», cuando el alcance excluye la implementación por escrito (p. 23). La honestidad del verbo, que es la primera fortaleza del documento y la razón del 3 y no menos en el criterio 1, no sobrevive al mazo.</w:t>
      </w:r>
    </w:p>
    <w:p>
      <w:pPr>
        <w:pStyle w:val="ListNumber"/>
      </w:pPr>
      <w:r>
        <w:rPr>
          <w:rFonts w:ascii="Calibri" w:hAnsi="Calibri"/>
          <w:b/>
          <w:color w:val="2B2B2B"/>
          <w:sz w:val="22"/>
        </w:rPr>
        <w:t>El título y la pregunta que se proyectan no son los del documento.</w:t>
      </w:r>
      <w:r>
        <w:rPr>
          <w:rFonts w:ascii="Calibri" w:hAnsi="Calibri"/>
          <w:b w:val="0"/>
          <w:color w:val="2B2B2B"/>
          <w:sz w:val="22"/>
        </w:rPr>
        <w:t xml:space="preserve"> Diapositiva 1: «</w:t>
      </w:r>
      <w:r>
        <w:rPr>
          <w:rFonts w:ascii="Calibri" w:hAnsi="Calibri"/>
          <w:b/>
          <w:color w:val="2B2B2B"/>
          <w:sz w:val="22"/>
        </w:rPr>
        <w:t>Análisis</w:t>
      </w:r>
      <w:r>
        <w:rPr>
          <w:rFonts w:ascii="Calibri" w:hAnsi="Calibri"/>
          <w:b w:val="0"/>
          <w:color w:val="2B2B2B"/>
          <w:sz w:val="22"/>
        </w:rPr>
        <w:t xml:space="preserve"> de la integración de energía solar y transformación digital </w:t>
      </w:r>
      <w:r>
        <w:rPr>
          <w:rFonts w:ascii="Calibri" w:hAnsi="Calibri"/>
          <w:b/>
          <w:color w:val="2B2B2B"/>
          <w:sz w:val="22"/>
        </w:rPr>
        <w:t>para optimizar</w:t>
      </w:r>
      <w:r>
        <w:rPr>
          <w:rFonts w:ascii="Calibri" w:hAnsi="Calibri"/>
          <w:b w:val="0"/>
          <w:color w:val="2B2B2B"/>
          <w:sz w:val="22"/>
        </w:rPr>
        <w:t xml:space="preserve"> la gestión energética en comunidades rurales del Valle del Cauca», contra la portada, «</w:t>
      </w:r>
      <w:r>
        <w:rPr>
          <w:rFonts w:ascii="Calibri" w:hAnsi="Calibri"/>
          <w:b/>
          <w:color w:val="2B2B2B"/>
          <w:sz w:val="22"/>
        </w:rPr>
        <w:t>Modelo conceptual</w:t>
      </w:r>
      <w:r>
        <w:rPr>
          <w:rFonts w:ascii="Calibri" w:hAnsi="Calibri"/>
          <w:b w:val="0"/>
          <w:color w:val="2B2B2B"/>
          <w:sz w:val="22"/>
        </w:rPr>
        <w:t xml:space="preserve"> para la integración de herramientas de transformación digital en la gestión energética inteligente de sistemas de energía solar…» (p. 1). Diapositiva 3: «¿Cómo puede la </w:t>
      </w:r>
      <w:r>
        <w:rPr>
          <w:rFonts w:ascii="Calibri" w:hAnsi="Calibri"/>
          <w:b/>
          <w:color w:val="2B2B2B"/>
          <w:sz w:val="22"/>
        </w:rPr>
        <w:t>integración</w:t>
      </w:r>
      <w:r>
        <w:rPr>
          <w:rFonts w:ascii="Calibri" w:hAnsi="Calibri"/>
          <w:b w:val="0"/>
          <w:color w:val="2B2B2B"/>
          <w:sz w:val="22"/>
        </w:rPr>
        <w:t xml:space="preserve"> … contribuir a </w:t>
      </w:r>
      <w:r>
        <w:rPr>
          <w:rFonts w:ascii="Calibri" w:hAnsi="Calibri"/>
          <w:b/>
          <w:color w:val="2B2B2B"/>
          <w:sz w:val="22"/>
        </w:rPr>
        <w:t>mejorar el acceso</w:t>
      </w:r>
      <w:r>
        <w:rPr>
          <w:rFonts w:ascii="Calibri" w:hAnsi="Calibri"/>
          <w:b w:val="0"/>
          <w:color w:val="2B2B2B"/>
          <w:sz w:val="22"/>
        </w:rPr>
        <w:t xml:space="preserve"> y la gestión energética…?», contra la p. 18: «¿Cómo </w:t>
      </w:r>
      <w:r>
        <w:rPr>
          <w:rFonts w:ascii="Calibri" w:hAnsi="Calibri"/>
          <w:b/>
          <w:color w:val="2B2B2B"/>
          <w:sz w:val="22"/>
        </w:rPr>
        <w:t>estructurar un modelo conceptual</w:t>
      </w:r>
      <w:r>
        <w:rPr>
          <w:rFonts w:ascii="Calibri" w:hAnsi="Calibri"/>
          <w:b w:val="0"/>
          <w:color w:val="2B2B2B"/>
          <w:sz w:val="22"/>
        </w:rPr>
        <w:t xml:space="preserve"> que integre…?». Las dos versiones de pantalla cambian el objeto —análisis en lugar de modelo— y le añaden un verbo de mejora que el trabajo no mide. Es la reserva nº 11, y conviene resolverla temprano, porque el moderador va a leer en voz alta el título de la diapositiva 1.</w:t>
      </w:r>
    </w:p>
    <w:p>
      <w:pPr>
        <w:pStyle w:val="ListNumber"/>
      </w:pPr>
      <w:r>
        <w:rPr>
          <w:rFonts w:ascii="Calibri" w:hAnsi="Calibri"/>
          <w:b/>
          <w:color w:val="2B2B2B"/>
          <w:sz w:val="22"/>
        </w:rPr>
        <w:t>El Valle del Cauca se proyecta siete veces y no hay una sola fuente del Valle en pantalla.</w:t>
      </w:r>
      <w:r>
        <w:rPr>
          <w:rFonts w:ascii="Calibri" w:hAnsi="Calibri"/>
          <w:b w:val="0"/>
          <w:color w:val="2B2B2B"/>
          <w:sz w:val="22"/>
        </w:rPr>
        <w:t xml:space="preserve"> Está en el título de la 1, en la pregunta de la 3, en los objetivos específicos 1 y 4 de la 4, en el bloque de pertinencia de la 5, en el «EN SÍNTESIS» de la 7, en el «APORTE TEÓRICO» de la 8 y en dos de las conclusiones de la 9: siete de las diez diapositivas con contenido. Ninguna nombra la Gobernación del Valle, la CVC, el DANE ni un dato departamental, y la diapositiva 7 declara con precisión el alcance —«análisis de múltiples perspectivas </w:t>
      </w:r>
      <w:r>
        <w:rPr>
          <w:rFonts w:ascii="Calibri" w:hAnsi="Calibri"/>
          <w:b/>
          <w:color w:val="2B2B2B"/>
          <w:sz w:val="22"/>
        </w:rPr>
        <w:t>sin intervención directa</w:t>
      </w:r>
      <w:r>
        <w:rPr>
          <w:rFonts w:ascii="Calibri" w:hAnsi="Calibri"/>
          <w:b w:val="0"/>
          <w:color w:val="2B2B2B"/>
          <w:sz w:val="22"/>
        </w:rPr>
        <w:t xml:space="preserve"> sobre comunidades o instalaciones»—, que es lo que hace visible el hueco. El mazo no repite el matiz de las pp. 23 y 75. Es la entrada por pantalla de la </w:t>
      </w:r>
      <w:r>
        <w:rPr>
          <w:rFonts w:ascii="Calibri" w:hAnsi="Calibri"/>
          <w:b/>
          <w:color w:val="2B2B2B"/>
          <w:sz w:val="22"/>
        </w:rPr>
        <w:t>pregunta prioritaria 2</w:t>
      </w:r>
      <w:r>
        <w:rPr>
          <w:rFonts w:ascii="Calibri" w:hAnsi="Calibri"/>
          <w:b w:val="0"/>
          <w:color w:val="2B2B2B"/>
          <w:sz w:val="22"/>
        </w:rPr>
        <w:t>.</w:t>
      </w:r>
    </w:p>
    <w:p>
      <w:pPr>
        <w:pStyle w:val="ListNumber"/>
      </w:pPr>
      <w:r>
        <w:rPr>
          <w:rFonts w:ascii="Calibri" w:hAnsi="Calibri"/>
          <w:b/>
          <w:color w:val="2B2B2B"/>
          <w:sz w:val="22"/>
        </w:rPr>
        <w:t>Lo que sí es fiel, y hay que reconocerlo.</w:t>
      </w:r>
      <w:r>
        <w:rPr>
          <w:rFonts w:ascii="Calibri" w:hAnsi="Calibri"/>
          <w:b w:val="0"/>
          <w:color w:val="2B2B2B"/>
          <w:sz w:val="22"/>
        </w:rPr>
        <w:t xml:space="preserve"> La diapositiva 4 reproduce el objetivo general de la p. 19 casi palabra por palabra —«Proponer un modelo conceptual … a partir del análisis de referentes científicos, tecnológicos y normativos»— y los cuatro específicos son los de la p. 19, sin recortes. La 7 declara el enfoque documental, el alcance y la no intervención con exactitud. La 9 recomienda «realizar pilotos y evaluaciones continuas para validar y escalar el modelo», que es justo la limitación declarada en la p. 23: saben lo que falta. Y los números que abren cuatro infografías —4 en Justificación, 7 en Metodología, 8 en Discusión, 9 en Conclusiones— son los </w:t>
      </w:r>
      <w:r>
        <w:rPr>
          <w:rFonts w:ascii="Calibri" w:hAnsi="Calibri"/>
          <w:b/>
          <w:color w:val="2B2B2B"/>
          <w:sz w:val="22"/>
        </w:rPr>
        <w:t>capítulos del documento</w:t>
      </w:r>
      <w:r>
        <w:rPr>
          <w:rFonts w:ascii="Calibri" w:hAnsi="Calibri"/>
          <w:b w:val="0"/>
          <w:color w:val="2B2B2B"/>
          <w:sz w:val="22"/>
        </w:rPr>
        <w:t>, no una numeración de diapositivas mal puesta: no es un reparo.</w:t>
      </w:r>
    </w:p>
    <w:p>
      <w:pPr>
        <w:pStyle w:val="ListNumber"/>
      </w:pPr>
      <w:r>
        <w:rPr>
          <w:rFonts w:ascii="Calibri" w:hAnsi="Calibri"/>
          <w:b/>
          <w:color w:val="2B2B2B"/>
          <w:sz w:val="22"/>
        </w:rPr>
        <w:t>La diapositiva 6 trae su propio bloque de referencias y queda cortado por el borde inferior.</w:t>
      </w:r>
      <w:r>
        <w:rPr>
          <w:rFonts w:ascii="Calibri" w:hAnsi="Calibri"/>
          <w:b w:val="0"/>
          <w:color w:val="2B2B2B"/>
          <w:sz w:val="22"/>
        </w:rPr>
        <w:t xml:space="preserve"> Debajo de la franja azul se alcanza a leer «REFERENCIAS · International Energy Agency [IEA]. (2022). World energy outlook 2022. IEA.» y, en la columna derecha, «Congreso de la República de Colombia. (2014). Ley 1715…» y «(2021). Ley 2099 de 2021…», y ahí se corta a mitad de renglón: la infografía se exportó más alta que la diapositiva. Dos consecuencias. Nadie va a poder leer esas referencias en sala. Y la única que sí se lee está mal: el documento registra la IEA 2022 como «</w:t>
      </w:r>
      <w:r>
        <w:rPr>
          <w:rFonts w:ascii="Calibri" w:hAnsi="Calibri"/>
          <w:b/>
          <w:color w:val="2B2B2B"/>
          <w:sz w:val="22"/>
        </w:rPr>
        <w:t>Digitalisation and energy</w:t>
      </w:r>
      <w:r>
        <w:rPr>
          <w:rFonts w:ascii="Calibri" w:hAnsi="Calibri"/>
          <w:b w:val="0"/>
          <w:color w:val="2B2B2B"/>
          <w:sz w:val="22"/>
        </w:rPr>
        <w:t>» (p. 128) y no tiene ningún «World energy outlook 2022» —tiene 2021a y 2024—, mientras la diapositiva 10 del mismo mazo la lista, correctamente, como «Digitalisation and energy». El mazo se da dos títulos distintos para la misma entrada.</w:t>
      </w:r>
    </w:p>
    <w:p>
      <w:pPr>
        <w:pStyle w:val="ListNumber"/>
      </w:pPr>
      <w:r>
        <w:rPr>
          <w:rFonts w:ascii="Calibri" w:hAnsi="Calibri"/>
          <w:b/>
          <w:color w:val="2B2B2B"/>
          <w:sz w:val="22"/>
        </w:rPr>
        <w:t>La diapositiva 10 es una lista de referencias alfabetizada que se detiene en la letra M.</w:t>
      </w:r>
      <w:r>
        <w:rPr>
          <w:rFonts w:ascii="Calibri" w:hAnsi="Calibri"/>
          <w:b w:val="0"/>
          <w:color w:val="2B2B2B"/>
          <w:sz w:val="22"/>
        </w:rPr>
        <w:t xml:space="preserve"> Quince entradas —BID 2021, BID 2025, Banco Mundial 2020, Bhattacharyya 2019, CEPAL 2019, CEPAL 2020, CEPAL 2025, Congreso 2014, Deloitte 2021, IEA 2021a, IEA 2022, IRENA 2020, IRENA 2021a, IRENA 2021b y Mandelli et al. 2016— y después de Mandelli no hay diapositiva de continuación: la siguiente es el divisor «Preguntas». Por eso quedan sin entrada ocho obras que el propio mazo cita en las diapositivas 5 y 6: Porter &amp; Heppelmann 2014, Schwab 2016, World Economic Forum 2020, Laudon &amp; Laudon 2022, Palit &amp; Chaurey 2011, REN21 2022, UPME 2023 y la Ley 2099 de 2021 —las ocho </w:t>
      </w:r>
      <w:r>
        <w:rPr>
          <w:rFonts w:ascii="Calibri" w:hAnsi="Calibri"/>
          <w:b/>
          <w:color w:val="2B2B2B"/>
          <w:sz w:val="22"/>
        </w:rPr>
        <w:t>sí</w:t>
      </w:r>
      <w:r>
        <w:rPr>
          <w:rFonts w:ascii="Calibri" w:hAnsi="Calibri"/>
          <w:b w:val="0"/>
          <w:color w:val="2B2B2B"/>
          <w:sz w:val="22"/>
        </w:rPr>
        <w:t xml:space="preserve"> están en la lista del documento, pp. 128-129—. Y al revés: siete de las quince listadas no se citan en ninguna diapositiva (BID 2021, BID 2025, CEPAL 2019, CEPAL 2025, Deloitte 2021, IEA 2021a, IRENA 2020). Crédito que corresponde: </w:t>
      </w:r>
      <w:r>
        <w:rPr>
          <w:rFonts w:ascii="Calibri" w:hAnsi="Calibri"/>
          <w:b/>
          <w:color w:val="2B2B2B"/>
          <w:sz w:val="22"/>
        </w:rPr>
        <w:t>la lista del mazo sí está alfabetizada</w:t>
      </w:r>
      <w:r>
        <w:rPr>
          <w:rFonts w:ascii="Calibri" w:hAnsi="Calibri"/>
          <w:b w:val="0"/>
          <w:color w:val="2B2B2B"/>
          <w:sz w:val="22"/>
        </w:rPr>
        <w:t xml:space="preserve">, que es exactamente lo que le falta a la del documento (§4, punto D). </w:t>
      </w:r>
      <w:r>
        <w:rPr>
          <w:rFonts w:ascii="Calibri" w:hAnsi="Calibri"/>
          <w:b/>
          <w:color w:val="2B2B2B"/>
          <w:sz w:val="22"/>
        </w:rPr>
        <w:t>No se pregunta en sala</w:t>
      </w:r>
      <w:r>
        <w:rPr>
          <w:rFonts w:ascii="Calibri" w:hAnsi="Calibri"/>
          <w:b w:val="0"/>
          <w:color w:val="2B2B2B"/>
          <w:sz w:val="22"/>
        </w:rPr>
        <w:t>: va a la retroalimentación escrita.</w:t>
      </w:r>
    </w:p>
    <w:p>
      <w:pPr>
        <w:pStyle w:val="ListNumber"/>
      </w:pPr>
      <w:r>
        <w:rPr>
          <w:rFonts w:ascii="Calibri" w:hAnsi="Calibri"/>
          <w:b/>
          <w:color w:val="2B2B2B"/>
          <w:sz w:val="22"/>
        </w:rPr>
        <w:t>Los dos años fantasma del marco son del documento, no del mazo.</w:t>
      </w:r>
      <w:r>
        <w:rPr>
          <w:rFonts w:ascii="Calibri" w:hAnsi="Calibri"/>
          <w:b w:val="0"/>
          <w:color w:val="2B2B2B"/>
          <w:sz w:val="22"/>
        </w:rPr>
        <w:t xml:space="preserve"> La diapositiva 6 cita «(World Economic Forum, 2020; </w:t>
      </w:r>
      <w:r>
        <w:rPr>
          <w:rFonts w:ascii="Calibri" w:hAnsi="Calibri"/>
          <w:b/>
          <w:color w:val="2B2B2B"/>
          <w:sz w:val="22"/>
        </w:rPr>
        <w:t>IEA, 2023</w:t>
      </w:r>
      <w:r>
        <w:rPr>
          <w:rFonts w:ascii="Calibri" w:hAnsi="Calibri"/>
          <w:b w:val="0"/>
          <w:color w:val="2B2B2B"/>
          <w:sz w:val="22"/>
        </w:rPr>
        <w:t xml:space="preserve">)» y «(Laudon &amp; Laudon, 2022; </w:t>
      </w:r>
      <w:r>
        <w:rPr>
          <w:rFonts w:ascii="Calibri" w:hAnsi="Calibri"/>
          <w:b/>
          <w:color w:val="2B2B2B"/>
          <w:sz w:val="22"/>
        </w:rPr>
        <w:t>IRENA, 2023</w:t>
      </w:r>
      <w:r>
        <w:rPr>
          <w:rFonts w:ascii="Calibri" w:hAnsi="Calibri"/>
          <w:b w:val="0"/>
          <w:color w:val="2B2B2B"/>
          <w:sz w:val="22"/>
        </w:rPr>
        <w:t xml:space="preserve">)», y ninguno de esos dos años existe en la lista de referencias (IEA 2021a, 2022 y 2024; IRENA 2020, 2021a, 2021b y 2024, pp. 128-129). </w:t>
      </w:r>
      <w:r>
        <w:rPr>
          <w:rFonts w:ascii="Calibri" w:hAnsi="Calibri"/>
          <w:b/>
          <w:color w:val="2B2B2B"/>
          <w:sz w:val="22"/>
        </w:rPr>
        <w:t>Precisión que hay que llevar aprendida para no acusar de invención:</w:t>
      </w:r>
      <w:r>
        <w:rPr>
          <w:rFonts w:ascii="Calibri" w:hAnsi="Calibri"/>
          <w:b w:val="0"/>
          <w:color w:val="2B2B2B"/>
          <w:sz w:val="22"/>
        </w:rPr>
        <w:t xml:space="preserve"> las dos citas salen del documento —«(IEA, 2023)» está en la p. 29 y «IRENA (2023)» y «World Economic Forum – WEF (2023)» están en la matriz, pp. 32 y 34—. El mazo repite el error, no lo crea. Va a la retroalimentación escrita, con la reserva nº 10.</w:t>
      </w:r>
    </w:p>
    <w:p>
      <w:pPr>
        <w:pStyle w:val="ListNumber"/>
      </w:pPr>
      <w:r>
        <w:rPr>
          <w:rFonts w:ascii="Calibri" w:hAnsi="Calibri"/>
          <w:b/>
          <w:color w:val="2B2B2B"/>
          <w:sz w:val="22"/>
        </w:rPr>
        <w:t>Nueve de las doce diapositivas no tienen texto vivo.</w:t>
      </w:r>
      <w:r>
        <w:rPr>
          <w:rFonts w:ascii="Calibri" w:hAnsi="Calibri"/>
          <w:b w:val="0"/>
          <w:color w:val="2B2B2B"/>
          <w:sz w:val="22"/>
        </w:rPr>
        <w:t xml:space="preserve"> Cada una es una infografía exportada como imagen —entre 300 y 400 palabras dentro del JPG— pegada encima de la plantilla CUN. Tres consecuencias prácticas: nada del mazo se puede buscar ni copiar, ninguna errata se corrige sin volver a exportar la imagen, y la letra queda pequeña porque el original se diseñó en un formato más alto que 16:9 y al encajarlo se ensanchó (las infografías de las diapositivas 5, 7, 8, 9 y 10 están estiradas en horizontal entre un 10 % y un 16 %). En las diapositivas 2 y 3 la imagen no cubre toda la pantalla y la esquina decorativa de la plantilla se le monta encima.</w:t>
      </w:r>
    </w:p>
    <w:p>
      <w:pPr>
        <w:pStyle w:val="ListNumber"/>
      </w:pPr>
      <w:r>
        <w:rPr>
          <w:rFonts w:ascii="Calibri" w:hAnsi="Calibri"/>
          <w:b/>
          <w:color w:val="2B2B2B"/>
          <w:sz w:val="22"/>
        </w:rPr>
        <w:t>Debajo de dos infografías quedó texto de plantilla sin borrar, y las dos últimas diapositivas son divisores sin editar.</w:t>
      </w:r>
      <w:r>
        <w:rPr>
          <w:rFonts w:ascii="Calibri" w:hAnsi="Calibri"/>
          <w:b w:val="0"/>
          <w:color w:val="2B2B2B"/>
          <w:sz w:val="22"/>
        </w:rPr>
        <w:t xml:space="preserve"> La diapositiva 4 esconde un «Objetivos Específicos:» y la 9 un bloque «2 / Impliacnes / Podeos mejorar procesos. Tomar decisiones informadas.», con las dos erratas: están </w:t>
      </w:r>
      <w:r>
        <w:rPr>
          <w:rFonts w:ascii="Calibri" w:hAnsi="Calibri"/>
          <w:b/>
          <w:color w:val="2B2B2B"/>
          <w:sz w:val="22"/>
        </w:rPr>
        <w:t>tapados por la imagen</w:t>
      </w:r>
      <w:r>
        <w:rPr>
          <w:rFonts w:ascii="Calibri" w:hAnsi="Calibri"/>
          <w:b w:val="0"/>
          <w:color w:val="2B2B2B"/>
          <w:sz w:val="22"/>
        </w:rPr>
        <w:t>, así que no se ven al proyectar y no son un reparo de sala —aparecen sólo si alguien copia el texto del PDF o abre el archivo original—. Lo que sí se ve son las dos últimas: la 11, divisor «Preguntas» de la plantilla, con el logo CUN duplicado y superpuesto en la esquina inferior derecha; y la 12, divisor «Recursos adicionales», con el texto de la plantilla intacto —«A continuación podrás encontrar elementos que podrán complementar de manera gráfica la presentación»—, sin ningún recurso detrás.</w:t>
      </w:r>
    </w:p>
    <w:p>
      <w:r>
        <w:rPr>
          <w:rFonts w:ascii="Calibri" w:hAnsi="Calibri"/>
          <w:b/>
          <w:color w:val="2B2B2B"/>
          <w:sz w:val="22"/>
        </w:rPr>
        <w:t>Forma del mazo (no se pregunta en sala).</w:t>
      </w:r>
      <w:r>
        <w:rPr>
          <w:rFonts w:ascii="Calibri" w:hAnsi="Calibri"/>
          <w:b w:val="0"/>
          <w:color w:val="2B2B2B"/>
          <w:sz w:val="22"/>
        </w:rPr>
        <w:t xml:space="preserve"> La diapositiva 2 arrastra una frase corrompida —«…como alternativa para mejorar una </w:t>
      </w:r>
      <w:r>
        <w:rPr>
          <w:rFonts w:ascii="Calibri" w:hAnsi="Calibri"/>
          <w:i/>
          <w:color w:val="2B2B2B"/>
          <w:sz w:val="22"/>
        </w:rPr>
        <w:t>resiraatica</w:t>
      </w:r>
      <w:r>
        <w:rPr>
          <w:rFonts w:ascii="Calibri" w:hAnsi="Calibri"/>
          <w:b w:val="0"/>
          <w:color w:val="2B2B2B"/>
          <w:sz w:val="22"/>
        </w:rPr>
        <w:t xml:space="preserve"> para mejorar el acceso energético…»—, repite «tecnologías digitales, digitales» y deja el bloque de contexto cortado en «…que optimicen su»; la 3 dice «muchos sistemas presenta fallas operativas»; la 1 escribe «Especialización en Transformación </w:t>
      </w:r>
      <w:r>
        <w:rPr>
          <w:rFonts w:ascii="Calibri" w:hAnsi="Calibri"/>
          <w:b/>
          <w:color w:val="2B2B2B"/>
          <w:sz w:val="22"/>
        </w:rPr>
        <w:t>digital</w:t>
      </w:r>
      <w:r>
        <w:rPr>
          <w:rFonts w:ascii="Calibri" w:hAnsi="Calibri"/>
          <w:b w:val="0"/>
          <w:color w:val="2B2B2B"/>
          <w:sz w:val="22"/>
        </w:rPr>
        <w:t>» en minúscula y separa dos nombres con «Robles| Omaira», sin espacio, y no lleva fecha ni el nombre de la directora, que sí están en la portada del documento (pp. 1-2).</w:t>
      </w:r>
    </w:p>
    <w:p>
      <w:pPr>
        <w:spacing w:before="200" w:after="60"/>
      </w:pPr>
      <w:r>
        <w:rPr>
          <w:rFonts w:ascii="Calibri" w:hAnsi="Calibri"/>
          <w:b/>
          <w:color w:val="007433"/>
          <w:sz w:val="32"/>
        </w:rPr>
        <w:t>Qué mirar en pantalla mientras exponen</w:t>
      </w:r>
    </w:p>
    <w:p>
      <w:pPr>
        <w:pStyle w:val="ListBullet"/>
      </w:pPr>
      <w:r>
        <w:rPr>
          <w:rFonts w:ascii="Calibri" w:hAnsi="Calibri"/>
          <w:b/>
          <w:color w:val="2B2B2B"/>
          <w:sz w:val="22"/>
        </w:rPr>
        <w:t>Si en algún momento aparece el modelo de cinco componentes o la Figura 11.</w:t>
      </w:r>
      <w:r>
        <w:rPr>
          <w:rFonts w:ascii="Calibri" w:hAnsi="Calibri"/>
          <w:b w:val="0"/>
          <w:color w:val="2B2B2B"/>
          <w:sz w:val="22"/>
        </w:rPr>
        <w:t xml:space="preserve"> Si no aparece, la primera condicional de la §7 se activa sola: hay que pedirles que lo describan de viva voz.</w:t>
      </w:r>
    </w:p>
    <w:p>
      <w:pPr>
        <w:pStyle w:val="ListBullet"/>
      </w:pPr>
      <w:r>
        <w:rPr>
          <w:rFonts w:ascii="Calibri" w:hAnsi="Calibri"/>
          <w:b/>
          <w:color w:val="2B2B2B"/>
          <w:sz w:val="22"/>
        </w:rPr>
        <w:t>Qué número dicen del corpus la primera vez.</w:t>
      </w:r>
      <w:r>
        <w:rPr>
          <w:rFonts w:ascii="Calibri" w:hAnsi="Calibri"/>
          <w:b w:val="0"/>
          <w:color w:val="2B2B2B"/>
          <w:sz w:val="22"/>
        </w:rPr>
        <w:t xml:space="preserve"> 52, 35 o 31 — y si lo dicen leyendo la diapositiva 7 o de memoria.</w:t>
      </w:r>
    </w:p>
    <w:p>
      <w:pPr>
        <w:pStyle w:val="ListBullet"/>
      </w:pPr>
      <w:r>
        <w:rPr>
          <w:rFonts w:ascii="Calibri" w:hAnsi="Calibri"/>
          <w:b/>
          <w:color w:val="2B2B2B"/>
          <w:sz w:val="22"/>
        </w:rPr>
        <w:t>Si leen los tres porcentajes en voz alta.</w:t>
      </w:r>
      <w:r>
        <w:rPr>
          <w:rFonts w:ascii="Calibri" w:hAnsi="Calibri"/>
          <w:b w:val="0"/>
          <w:color w:val="2B2B2B"/>
          <w:sz w:val="22"/>
        </w:rPr>
        <w:t xml:space="preserve"> Es el momento de anotar si los presentan como resultado del análisis documental o los pasan de largo; de eso depende cómo se abre la pregunta prioritaria 3.</w:t>
      </w:r>
    </w:p>
    <w:p>
      <w:pPr>
        <w:pStyle w:val="ListBullet"/>
      </w:pPr>
      <w:r>
        <w:rPr>
          <w:rFonts w:ascii="Calibri" w:hAnsi="Calibri"/>
          <w:b/>
          <w:color w:val="2B2B2B"/>
          <w:sz w:val="22"/>
        </w:rPr>
        <w:t>Si dicen «confirman», «optimiza», «reduce costos» o «ODS».</w:t>
      </w:r>
      <w:r>
        <w:rPr>
          <w:rFonts w:ascii="Calibri" w:hAnsi="Calibri"/>
          <w:b w:val="0"/>
          <w:color w:val="2B2B2B"/>
          <w:sz w:val="22"/>
        </w:rPr>
        <w:t xml:space="preserve"> Las cuatro están en pantalla y ninguna está en el documento, o está sólo como recomendación. Cada una tiene su condicional en la §7.</w:t>
      </w:r>
    </w:p>
    <w:p>
      <w:pPr>
        <w:pStyle w:val="ListBullet"/>
      </w:pPr>
      <w:r>
        <w:rPr>
          <w:rFonts w:ascii="Calibri" w:hAnsi="Calibri"/>
          <w:b/>
          <w:color w:val="2B2B2B"/>
          <w:sz w:val="22"/>
        </w:rPr>
        <w:t>Cómo lee el moderador el título.</w:t>
      </w:r>
      <w:r>
        <w:rPr>
          <w:rFonts w:ascii="Calibri" w:hAnsi="Calibri"/>
          <w:b w:val="0"/>
          <w:color w:val="2B2B2B"/>
          <w:sz w:val="22"/>
        </w:rPr>
        <w:t xml:space="preserve"> El de la diapositiva 1 no es el de la portada: si se lee el de pantalla, conviene aclararlo con la reserva nº 11 antes de entrar en materia.</w:t>
      </w:r>
    </w:p>
    <w:p>
      <w:pPr>
        <w:pStyle w:val="ListBullet"/>
      </w:pPr>
      <w:r>
        <w:rPr>
          <w:rFonts w:ascii="Calibri" w:hAnsi="Calibri"/>
          <w:b/>
          <w:color w:val="2B2B2B"/>
          <w:sz w:val="22"/>
        </w:rPr>
        <w:t>Si alguien intenta leer las referencias de la diapositiva 6.</w:t>
      </w:r>
      <w:r>
        <w:rPr>
          <w:rFonts w:ascii="Calibri" w:hAnsi="Calibri"/>
          <w:b w:val="0"/>
          <w:color w:val="2B2B2B"/>
          <w:sz w:val="22"/>
        </w:rPr>
        <w:t xml:space="preserve"> Están cortadas por el borde inferior. No es un reparo de fondo, pero sí la señal de que el mazo no se revisó proyectado.</w:t>
      </w:r>
    </w:p>
    <w:p>
      <w:pPr>
        <w:pStyle w:val="ListBullet"/>
      </w:pPr>
      <w:r>
        <w:rPr>
          <w:rFonts w:ascii="Calibri" w:hAnsi="Calibri"/>
          <w:b/>
          <w:color w:val="2B2B2B"/>
          <w:sz w:val="22"/>
        </w:rPr>
        <w:t>Quién habla de qué.</w:t>
      </w:r>
      <w:r>
        <w:rPr>
          <w:rFonts w:ascii="Calibri" w:hAnsi="Calibri"/>
          <w:b w:val="0"/>
          <w:color w:val="2B2B2B"/>
          <w:sz w:val="22"/>
        </w:rPr>
        <w:t xml:space="preserve"> Son tres integrantes; si habla sólo uno, la §7 ya fija a quién pedirle la ruta de construcción (p. 102) o las condiciones habilitadoras (Tabla 15, pp. 95-96).</w:t>
      </w:r>
    </w:p>
    <w:p>
      <w:pPr>
        <w:pStyle w:val="ListBullet"/>
      </w:pPr>
      <w:r>
        <w:rPr>
          <w:rFonts w:ascii="Calibri" w:hAnsi="Calibri"/>
          <w:b/>
          <w:color w:val="2B2B2B"/>
          <w:sz w:val="22"/>
        </w:rPr>
        <w:t>Si leen las infografías palabra por palabra.</w:t>
      </w:r>
      <w:r>
        <w:rPr>
          <w:rFonts w:ascii="Calibri" w:hAnsi="Calibri"/>
          <w:b w:val="0"/>
          <w:color w:val="2B2B2B"/>
          <w:sz w:val="22"/>
        </w:rPr>
        <w:t xml:space="preserve"> Con 300-400 palabras por diapositiva se nota, y es lo que separa el 4,0 del 4,6 en la §8.</w:t>
      </w:r>
    </w:p>
    <w:p>
      <w:pPr>
        <w:pStyle w:val="ListBullet"/>
      </w:pPr>
      <w:r>
        <w:rPr>
          <w:rFonts w:ascii="Calibri" w:hAnsi="Calibri"/>
          <w:b/>
          <w:color w:val="2B2B2B"/>
          <w:sz w:val="22"/>
        </w:rPr>
        <w:t>Si avanzan más allá de la diapositiva 12.</w:t>
      </w:r>
      <w:r>
        <w:rPr>
          <w:rFonts w:ascii="Calibri" w:hAnsi="Calibri"/>
          <w:b w:val="0"/>
          <w:color w:val="2B2B2B"/>
          <w:sz w:val="22"/>
        </w:rPr>
        <w:t xml:space="preserve"> Aparece la portada del documento. Conviene avisarlo antes de que empiecen.</w:t>
      </w:r>
    </w:p>
    <w:p>
      <w:pPr>
        <w:spacing w:before="200" w:after="60"/>
      </w:pPr>
      <w:r>
        <w:rPr>
          <w:rFonts w:ascii="Calibri" w:hAnsi="Calibri"/>
          <w:b/>
          <w:color w:val="007433"/>
          <w:sz w:val="32"/>
        </w:rPr>
        <w:t>6.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«Página 44, matriz de caracterización: D06 es el informe de la IEA de 2022, etiquetado OE2. Página 50, matriz de análisis: D06 es un planteamiento del BID, etiquetado OE1. Con las dos páginas en pantalla, díganme qué documento del corpus es D06. Si hubo dos numeraciones que no se reconciliaron, díganlo con esas palabras.»</w:t>
      </w:r>
    </w:p>
    <w:p>
      <w:pPr>
        <w:pStyle w:val="ListBullet"/>
      </w:pPr>
      <w:r>
        <w:rPr>
          <w:rFonts w:ascii="Calibri" w:hAnsi="Calibri"/>
          <w:b/>
          <w:color w:val="2B2B2B"/>
          <w:sz w:val="22"/>
        </w:rPr>
        <w:t>Sale de:</w:t>
      </w:r>
      <w:r>
        <w:rPr>
          <w:rFonts w:ascii="Calibri" w:hAnsi="Calibri"/>
          <w:b w:val="0"/>
          <w:color w:val="2B2B2B"/>
          <w:sz w:val="22"/>
        </w:rPr>
        <w:t xml:space="preserve"> el documento, entera —pp. 44 y 50—. De las diapositivas no sale nada: el mazo no proyecta nunca los códigos del corpus, salvo la línea «Se analizaron 35 fuentes (D01–D35)» de la diapositiva 8 (§5, punto 1). Hay que hacerla con el documento y las dos páginas marcadas, no señalando la pantalla.</w:t>
      </w:r>
    </w:p>
    <w:p>
      <w:pPr>
        <w:pStyle w:val="ListBullet"/>
      </w:pPr>
      <w:r>
        <w:rPr>
          <w:rFonts w:ascii="Calibri" w:hAnsi="Calibri"/>
          <w:b/>
          <w:color w:val="2B2B2B"/>
          <w:sz w:val="22"/>
        </w:rPr>
        <w:t>Por qué:</w:t>
      </w:r>
      <w:r>
        <w:rPr>
          <w:rFonts w:ascii="Calibri" w:hAnsi="Calibri"/>
          <w:b w:val="0"/>
          <w:color w:val="2B2B2B"/>
          <w:sz w:val="22"/>
        </w:rPr>
        <w:t xml:space="preserve"> p. 44 (Tabla 3: D06 = IEA, 2022, informe técnico, alcance Internacional, OE2) contra p. 50 (Tabla 4: D06 = «El BID señala que la expansión del acceso a la energía…», OE1). El mismo código nombra documentos distintos en los dos instrumentos y encima cambia de objetivo. Desde D06 la Tabla 4 corre cinco posiciones: allí la IEA 2022 es D11 (p. 52), Deloitte D12 y McKinsey D13 (p. 53) y Verhoef D14 (p. 54), cada uno una sola vez. Es decir: la Tabla 4 quedó con una numeración distinta de la Tabla 3, y eso reencuadra los cuatro «duplicados» de las pp. 44-45 como una renumeración a mitad de camino que nunca se reconcilió. Desarma la trazabilidad que el documento reivindica en la p. 43 («permitió mantener la trazabilidad de las fuentes consultadas») y en la p. 66. Si no pueden decir qué documento es D06, ninguna cifra del capítulo 8 queda en pie. La exposición no lo toca nunca.</w:t>
      </w:r>
    </w:p>
    <w:p>
      <w:pPr>
        <w:pStyle w:val="ListBullet"/>
      </w:pPr>
      <w:r>
        <w:rPr>
          <w:rFonts w:ascii="Calibri" w:hAnsi="Calibri"/>
          <w:b/>
          <w:color w:val="2B2B2B"/>
          <w:sz w:val="22"/>
        </w:rPr>
        <w:t>Qué la resuelve:</w:t>
      </w:r>
      <w:r>
        <w:rPr>
          <w:rFonts w:ascii="Calibri" w:hAnsi="Calibri"/>
          <w:b w:val="0"/>
          <w:color w:val="2B2B2B"/>
          <w:sz w:val="22"/>
        </w:rPr>
        <w:t xml:space="preserve"> que abran las dos páginas, reconozcan que las dos tablas no usan la misma numeración del corpus y que una de ellas quedó con una versión que no se actualizó; que digan cuál de las dos identidades de D06 es la buena; y que se comprometan a una tabla única de códigos reconciliada con las Figuras 2, 4, 5 y 6 (pp. 77-81), que están todas rotuladas «(D01–D35)». La salida honesta es: «son dos numeraciones distintas y no las reconciliamos».</w:t>
      </w:r>
    </w:p>
    <w:p>
      <w:pPr>
        <w:pStyle w:val="ListBullet"/>
      </w:pPr>
      <w:r>
        <w:rPr>
          <w:rFonts w:ascii="Calibri" w:hAnsi="Calibri"/>
          <w:b/>
          <w:color w:val="2B2B2B"/>
          <w:sz w:val="22"/>
        </w:rPr>
        <w:t>Qué la agrava:</w:t>
      </w:r>
      <w:r>
        <w:rPr>
          <w:rFonts w:ascii="Calibri" w:hAnsi="Calibri"/>
          <w:b w:val="0"/>
          <w:color w:val="2B2B2B"/>
          <w:sz w:val="22"/>
        </w:rPr>
        <w:t xml:space="preserve"> sostener que son documentos distintos del mismo autor —la lista de referencias tiene UNA sola entrada de IEA 2022, Deloitte 2021, Verhoef 2021 y McKinsey 2021 (pp. 128-129)—; atribuirlo a «un error de formato» sin poder nombrar el documento; o afirmar que la trazabilidad está intacta con las dos páginas proyectadas.</w:t>
      </w:r>
    </w:p>
    <w:p>
      <w:r>
        <w:rPr>
          <w:rFonts w:ascii="Calibri" w:hAnsi="Calibri"/>
          <w:b/>
          <w:color w:val="2B2B2B"/>
          <w:sz w:val="22"/>
        </w:rPr>
        <w:t>2) «Página 77, debajo de la Figura 2: el documento afirma que la inclusión de documentos nacionales y regionales permitió contextualizar el análisis, particularmente, al contexto del Valle del Cauca. En la matriz de las páginas 43 a 48 la palabra Valle no aparece ni una vez. Díganme el código, entre D01 y D35, de una fuente cuyo alcance sea el Valle del Cauca. Si no hay ninguna, díganlo así.»</w:t>
      </w:r>
    </w:p>
    <w:p>
      <w:pPr>
        <w:pStyle w:val="ListBullet"/>
      </w:pPr>
      <w:r>
        <w:rPr>
          <w:rFonts w:ascii="Calibri" w:hAnsi="Calibri"/>
          <w:b/>
          <w:color w:val="2B2B2B"/>
          <w:sz w:val="22"/>
        </w:rPr>
        <w:t>Sale de:</w:t>
      </w:r>
      <w:r>
        <w:rPr>
          <w:rFonts w:ascii="Calibri" w:hAnsi="Calibri"/>
          <w:b w:val="0"/>
          <w:color w:val="2B2B2B"/>
          <w:sz w:val="22"/>
        </w:rPr>
        <w:t xml:space="preserve"> del documento el hueco —la matriz de las pp. 43-48 contra la afirmación de la p. 77— y de las diapositivas la insistencia: el Valle del Cauca está en el título de la 1, en la pregunta de la 3, en los objetivos de la 4, en la pertinencia de la 5, en la síntesis de la 7, en el «aporte teórico» de la 8 y en las conclusiones de la 9, siete de las diez diapositivas con contenido, y en ninguna hay una fuente del Valle (§5, punto 8). La promesa se proyecta siete veces; la evidencia no está en ninguna.</w:t>
      </w:r>
    </w:p>
    <w:p>
      <w:pPr>
        <w:pStyle w:val="ListBullet"/>
      </w:pPr>
      <w:r>
        <w:rPr>
          <w:rFonts w:ascii="Calibri" w:hAnsi="Calibri"/>
          <w:b/>
          <w:color w:val="2B2B2B"/>
          <w:sz w:val="22"/>
        </w:rPr>
        <w:t>Por qué:</w:t>
      </w:r>
      <w:r>
        <w:rPr>
          <w:rFonts w:ascii="Calibri" w:hAnsi="Calibri"/>
          <w:b w:val="0"/>
          <w:color w:val="2B2B2B"/>
          <w:sz w:val="22"/>
        </w:rPr>
        <w:t xml:space="preserve"> la afirmación de la p. 77 es verbatim y está en la misma página que la Figura 2, que la desmiente: Internacional 24 (69 %), Nacional 7 (20 %), Regional 4 (11 %), sin ninguna categoría departamental. En la matriz de las pp. 43-48 la columna «País / Alcance» sólo usa Internacional (24), Documentos nacionales (7), Organismos regionales (3 — CEPAL D02, BID D11 y D12) y Asia (1), y la palabra «Valle» no aparece ni una vez. Lo territorial está en el título (p. 1), en la pregunta (p. 18) y en el objetivo general (p. 19): es la promesa central. La frase sigue en pie en la versión entregada, así que no se disuelve con «lo reconocemos en las limitaciones» (pp. 23 y 75). Pide un artefacto —un código— y no una opinión.</w:t>
      </w:r>
    </w:p>
    <w:p>
      <w:pPr>
        <w:pStyle w:val="ListBullet"/>
      </w:pPr>
      <w:r>
        <w:rPr>
          <w:rFonts w:ascii="Calibri" w:hAnsi="Calibri"/>
          <w:b/>
          <w:color w:val="2B2B2B"/>
          <w:sz w:val="22"/>
        </w:rPr>
        <w:t>Qué la resuelve:</w:t>
      </w:r>
      <w:r>
        <w:rPr>
          <w:rFonts w:ascii="Calibri" w:hAnsi="Calibri"/>
          <w:b w:val="0"/>
          <w:color w:val="2B2B2B"/>
          <w:sz w:val="22"/>
        </w:rPr>
        <w:t xml:space="preserve"> decir que ninguna fuente del corpus tiene alcance departamental; que el anclaje al Valle es el «contexto de aplicación», primer componente del modelo (p. 105), y no evidencia territorial; y comprometerse a corregir la frase de la p. 77 o a incorporar al corpus las fuentes del Valle que hoy sólo están en referencias (Gobernación del Valle 2024, CVC 2024, DANE 2024, p. 127) y los dos estudios colombianos cercanos (Lara-Vargas, Rodríguez Zabala, pp. 127-128).</w:t>
      </w:r>
    </w:p>
    <w:p>
      <w:pPr>
        <w:pStyle w:val="ListBullet"/>
      </w:pPr>
      <w:r>
        <w:rPr>
          <w:rFonts w:ascii="Calibri" w:hAnsi="Calibri"/>
          <w:b/>
          <w:color w:val="2B2B2B"/>
          <w:sz w:val="22"/>
        </w:rPr>
        <w:t>Qué la agrava:</w:t>
      </w:r>
      <w:r>
        <w:rPr>
          <w:rFonts w:ascii="Calibri" w:hAnsi="Calibri"/>
          <w:b w:val="0"/>
          <w:color w:val="2B2B2B"/>
          <w:sz w:val="22"/>
        </w:rPr>
        <w:t xml:space="preserve"> ofrecer D02 (CEPAL), D11 o D12 (BID) como evidencia del Valle; sostener que un documento de América Latina o de Asia contextualiza el departamento; invocar la lista de referencias como si fuera el corpus analizado; o defender la «pertinencia territorial» de la p. 77 sin retirar la frase.</w:t>
      </w:r>
    </w:p>
    <w:p>
      <w:r>
        <w:rPr>
          <w:rFonts w:ascii="Calibri" w:hAnsi="Calibri"/>
          <w:b/>
          <w:color w:val="2B2B2B"/>
          <w:sz w:val="22"/>
        </w:rPr>
        <w:t>3) «En su diapositiva 8 reportan 87 %, 81 % y 76 %. Esos tres valores no están en ninguna de las 129 páginas del trabajo: los porcentajes que sí trae el documento, en las Figuras 2, 4, 5, 6 y 7, son otros. Díganme, para uno cualquiera de los tres, la página y la tabla de donde sale ese número. Si el dato no está en el trabajo, díganlo con esas palabras.»</w:t>
      </w:r>
    </w:p>
    <w:p>
      <w:pPr>
        <w:pStyle w:val="ListBullet"/>
      </w:pPr>
      <w:r>
        <w:rPr>
          <w:rFonts w:ascii="Calibri" w:hAnsi="Calibri"/>
          <w:b/>
          <w:color w:val="2B2B2B"/>
          <w:sz w:val="22"/>
        </w:rPr>
        <w:t>Sale de:</w:t>
      </w:r>
      <w:r>
        <w:rPr>
          <w:rFonts w:ascii="Calibri" w:hAnsi="Calibri"/>
          <w:b w:val="0"/>
          <w:color w:val="2B2B2B"/>
          <w:sz w:val="22"/>
        </w:rPr>
        <w:t xml:space="preserve"> las diapositivas, entera: los tres porcentajes sólo existen en la 8 (§5, punto 2). Del documento sale lo que la desarma —el signo «%» no aparece en su texto y la p. 42 niega el tratamiento estadístico—. Es la única de las tres que conviene hacer </w:t>
      </w:r>
      <w:r>
        <w:rPr>
          <w:rFonts w:ascii="Calibri" w:hAnsi="Calibri"/>
          <w:b/>
          <w:color w:val="2B2B2B"/>
          <w:sz w:val="22"/>
        </w:rPr>
        <w:t>con el mazo en pantalla</w:t>
      </w:r>
      <w:r>
        <w:rPr>
          <w:rFonts w:ascii="Calibri" w:hAnsi="Calibri"/>
          <w:b w:val="0"/>
          <w:color w:val="2B2B2B"/>
          <w:sz w:val="22"/>
        </w:rPr>
        <w:t>, señalando la columna «1. RESULTADOS CLAVE».</w:t>
      </w:r>
    </w:p>
    <w:p>
      <w:pPr>
        <w:pStyle w:val="ListBullet"/>
      </w:pPr>
      <w:r>
        <w:rPr>
          <w:rFonts w:ascii="Calibri" w:hAnsi="Calibri"/>
          <w:b/>
          <w:color w:val="2B2B2B"/>
          <w:sz w:val="22"/>
        </w:rPr>
        <w:t>Por qué:</w:t>
      </w:r>
      <w:r>
        <w:rPr>
          <w:rFonts w:ascii="Calibri" w:hAnsi="Calibri"/>
          <w:b w:val="0"/>
          <w:color w:val="2B2B2B"/>
          <w:sz w:val="22"/>
        </w:rPr>
        <w:t xml:space="preserve"> el signo «%» no aparece ni una vez en el texto de las 129 páginas; los únicos porcentajes están dentro de las imágenes de las Figuras 2 (69/20/11, p. 77), 4 y 6 (37/29/20/14, pp. 79 y 81), 5 (29/23/11/9/9/6/6/3/3/3, p. 80) y 7 (31/23/15/8/8/8/8, p. 90), y ninguno es 87, 81 ni 76. Tampoco hay denominador posible: el capítulo de resultados (pp. 82-116) no trae ni un código D ni una cita autor-año, y la p. 42 declara que la codificación «no se utilizó como un procedimiento de análisis estadístico». Encima la diapositiva 8 cierra diciendo que los resultados «confirman». Es la pregunta que la exposición no puede contestar sola, porque la diapositiva enseña el número y no la fuente.</w:t>
      </w:r>
    </w:p>
    <w:p>
      <w:pPr>
        <w:pStyle w:val="ListBullet"/>
      </w:pPr>
      <w:r>
        <w:rPr>
          <w:rFonts w:ascii="Calibri" w:hAnsi="Calibri"/>
          <w:b/>
          <w:color w:val="2B2B2B"/>
          <w:sz w:val="22"/>
        </w:rPr>
        <w:t>Qué la resuelve:</w:t>
      </w:r>
      <w:r>
        <w:rPr>
          <w:rFonts w:ascii="Calibri" w:hAnsi="Calibri"/>
          <w:b w:val="0"/>
          <w:color w:val="2B2B2B"/>
          <w:sz w:val="22"/>
        </w:rPr>
        <w:t xml:space="preserve"> decir que el porcentaje no está en el documento y se construyó para la diapositiva, o que es un error del mazo; retirar el verbo «confirman» a la luz de la p. 23; y ofrecer el conteo que sí existe y es trazable (Figuras 4 y 6: OE2 13, OE1 10, OE4 7, OE3 5).</w:t>
      </w:r>
    </w:p>
    <w:p>
      <w:pPr>
        <w:pStyle w:val="ListBullet"/>
      </w:pPr>
      <w:r>
        <w:rPr>
          <w:rFonts w:ascii="Calibri" w:hAnsi="Calibri"/>
          <w:b/>
          <w:color w:val="2B2B2B"/>
          <w:sz w:val="22"/>
        </w:rPr>
        <w:t>Qué la agrava:</w:t>
      </w:r>
      <w:r>
        <w:rPr>
          <w:rFonts w:ascii="Calibri" w:hAnsi="Calibri"/>
          <w:b w:val="0"/>
          <w:color w:val="2B2B2B"/>
          <w:sz w:val="22"/>
        </w:rPr>
        <w:t xml:space="preserve"> improvisar un porcentaje en la sala; señalar una página que no lo contiene; explicarlo con las «52 fuentes» de la diapositiva 7 cuando el documento dice 35 (p. 40) y la propia diapositiva 8 dice «Se analizaron 35 fuentes (D01–D35)»; o sostener que los porcentajes se deducen del capítulo 8, que no tiene ningún conteo asignable.</w:t>
      </w:r>
    </w:p>
    <w:p>
      <w:pPr>
        <w:spacing w:before="200" w:after="60"/>
      </w:pPr>
      <w:r>
        <w:rPr>
          <w:rFonts w:ascii="Calibri" w:hAnsi="Calibri"/>
          <w:b/>
          <w:color w:val="007433"/>
          <w:sz w:val="32"/>
        </w:rPr>
        <w:t>Lo que se leyó en la sala el 18/08 — para cotejar con la hoja escrita a mano</w:t>
      </w:r>
    </w:p>
    <w:p>
      <w:pPr>
        <w:pStyle w:val="ListNumber"/>
      </w:pPr>
      <w:r>
        <w:rPr>
          <w:rFonts w:ascii="Calibri" w:hAnsi="Calibri"/>
          <w:b w:val="0"/>
          <w:color w:val="2B2B2B"/>
          <w:sz w:val="22"/>
        </w:rPr>
        <w:t>«En el documento el corpus son 35 fuentes (p. 40), en su diapositiva de metodología dicen 52, y en la matriz de las pp. 44 y 45 la IEA 2022 está registrada dos veces, como D06 y como D16 —igual que Deloitte, McKinsey y Verhoef—. ¿Cuántas fuentes distintas analizaron realmente y cómo controlaron la duplicación?»</w:t>
      </w:r>
    </w:p>
    <w:p>
      <w:pPr>
        <w:pStyle w:val="ListNumber"/>
      </w:pPr>
      <w:r>
        <w:rPr>
          <w:rFonts w:ascii="Calibri" w:hAnsi="Calibri"/>
          <w:b w:val="0"/>
          <w:color w:val="2B2B2B"/>
          <w:sz w:val="22"/>
        </w:rPr>
        <w:t>«El título y el objetivo general están anclados al Valle del Cauca, pero en la matriz de caracterización (pp. 43-48) ninguna de las fuentes tiene alcance Valle del Cauca, y los documentos de la Gobernación, la CVC y el DANE están en las referencias y no en el corpus. ¿Qué parte del modelo es específica del Valle del Cauca y qué parte sería idéntica para cualquier zona rural del país?»</w:t>
      </w:r>
    </w:p>
    <w:p>
      <w:pPr>
        <w:pStyle w:val="ListNumber"/>
      </w:pPr>
      <w:r>
        <w:rPr>
          <w:rFonts w:ascii="Calibri" w:hAnsi="Calibri"/>
          <w:b w:val="0"/>
          <w:color w:val="2B2B2B"/>
          <w:sz w:val="22"/>
        </w:rPr>
        <w:t>«En su diapositiva de resultados aparecen tres porcentajes: 87%, 81% y 76%. ¿Cómo se calcularon y sobre cuántas fuentes, considerando que la p. 42 del documento dice que la codificación en Excel no se usó como procedimiento de análisis estadístico?»</w:t>
      </w:r>
    </w:p>
    <w:p>
      <w:pPr>
        <w:spacing w:before="200" w:after="60"/>
      </w:pPr>
      <w:r>
        <w:rPr>
          <w:rFonts w:ascii="Calibri" w:hAnsi="Calibri"/>
          <w:b/>
          <w:color w:val="007433"/>
          <w:sz w:val="32"/>
        </w:rPr>
        <w:t>Banco de reserva</w:t>
      </w:r>
    </w:p>
    <w:p>
      <w:r>
        <w:rPr>
          <w:rFonts w:ascii="Calibri" w:hAnsi="Calibri"/>
          <w:b w:val="0"/>
          <w:color w:val="2B2B2B"/>
          <w:sz w:val="22"/>
        </w:rPr>
        <w:t xml:space="preserve">Los números </w:t>
      </w:r>
      <w:r>
        <w:rPr>
          <w:rFonts w:ascii="Calibri" w:hAnsi="Calibri"/>
          <w:b/>
          <w:color w:val="2B2B2B"/>
          <w:sz w:val="22"/>
        </w:rPr>
        <w:t>no se cambian de sitio</w:t>
      </w:r>
      <w:r>
        <w:rPr>
          <w:rFonts w:ascii="Calibri" w:hAnsi="Calibri"/>
          <w:b w:val="0"/>
          <w:color w:val="2B2B2B"/>
          <w:sz w:val="22"/>
        </w:rPr>
        <w:t>: la §7 llama a estas reservas por número —«la reserva nº 7», «la nº 4 o la nº 5»— y la §8.1 cita sus páginas. Las dos listas continúan la misma secuencia para que la numeración no se rompa: las del documento van de la 4 a la 10; las de las diapositivas, de la 11 en adelante, y sólo tienen sentido con el mazo proyectado.</w:t>
      </w:r>
    </w:p>
    <w:p>
      <w:pPr>
        <w:spacing w:before="140" w:after="60"/>
      </w:pPr>
      <w:r>
        <w:rPr>
          <w:rFonts w:ascii="Calibri" w:hAnsi="Calibri"/>
          <w:b/>
          <w:color w:val="0C2340"/>
          <w:sz w:val="27"/>
        </w:rPr>
        <w:t>Del documento</w:t>
      </w:r>
    </w:p>
    <w:p>
      <w:pPr>
        <w:pStyle w:val="ListNumber"/>
      </w:pPr>
      <w:r>
        <w:rPr>
          <w:rFonts w:ascii="Calibri" w:hAnsi="Calibri"/>
          <w:b w:val="0"/>
          <w:color w:val="2B2B2B"/>
          <w:sz w:val="22"/>
        </w:rPr>
        <w:t>La Tabla 8 (p. 83) sustenta una de sus filas con «Estudios reportan disminución del rendimiento por deficiencias de mantenimiento». Díganme qué códigos del corpus, entre D01 y D35, sustentan esa fila. (En las pp. 82-116 no hay ni un código D ni una cita autor-año.)</w:t>
      </w:r>
    </w:p>
    <w:p>
      <w:pPr>
        <w:pStyle w:val="ListNumber"/>
      </w:pPr>
      <w:r>
        <w:rPr>
          <w:rFonts w:ascii="Calibri" w:hAnsi="Calibri"/>
          <w:b w:val="0"/>
          <w:color w:val="2B2B2B"/>
          <w:sz w:val="22"/>
        </w:rPr>
        <w:t>La p. 103 dice que la estructura propuesta «integra cuatro dimensiones» y el apartado 8.8.2, una página después, que el modelo «se organiza en cinco componentes estructurales» (p. 104). Díganme cuántos tiene y cuál es el que aparece y desaparece. (Es «contexto de aplicación», p. 105.)</w:t>
      </w:r>
    </w:p>
    <w:p>
      <w:pPr>
        <w:pStyle w:val="ListNumber"/>
      </w:pPr>
      <w:r>
        <w:rPr>
          <w:rFonts w:ascii="Calibri" w:hAnsi="Calibri"/>
          <w:b w:val="0"/>
          <w:color w:val="2B2B2B"/>
          <w:sz w:val="22"/>
        </w:rPr>
        <w:t>Las condiciones habilitadoras son seis en la Tabla 15 (pp. 95-96), cinco en el quinto componente del modelo (p. 105) y seis con otros nombres en las conclusiones (p. 123). Con la Tabla 15 en pantalla, díganme la lista definitiva.</w:t>
      </w:r>
    </w:p>
    <w:p>
      <w:pPr>
        <w:pStyle w:val="ListNumber"/>
      </w:pPr>
      <w:r>
        <w:rPr>
          <w:rFonts w:ascii="Calibri" w:hAnsi="Calibri"/>
          <w:b w:val="0"/>
          <w:color w:val="2B2B2B"/>
          <w:sz w:val="22"/>
        </w:rPr>
        <w:t>El corpus suma 31 en la Tabla 7 (p. 76), rotulada «cantidad aproximada», 35 en la Figura 5 (p. 80) y 52 en su diapositiva 7. Díganme el número de fuentes únicas y la página donde está.</w:t>
      </w:r>
    </w:p>
    <w:p>
      <w:pPr>
        <w:pStyle w:val="ListNumber"/>
      </w:pPr>
      <w:r>
        <w:rPr>
          <w:rFonts w:ascii="Calibri" w:hAnsi="Calibri"/>
          <w:b w:val="0"/>
          <w:color w:val="2B2B2B"/>
          <w:sz w:val="22"/>
        </w:rPr>
        <w:t>La Figura 4 (p. 79) y la Figura 6 (p. 81) son el mismo diagrama de barras, con el mismo título interno («Documentos por objetivo específico») y los mismos valores. Díganme qué muestra cada una y qué las diferencia. (El párrafo de la p. 81 describe en realidad la Figura 7, p. 90.)</w:t>
      </w:r>
    </w:p>
    <w:p>
      <w:pPr>
        <w:pStyle w:val="ListNumber"/>
      </w:pPr>
      <w:r>
        <w:rPr>
          <w:rFonts w:ascii="Calibri" w:hAnsi="Calibri"/>
          <w:b w:val="0"/>
          <w:color w:val="2B2B2B"/>
          <w:sz w:val="22"/>
        </w:rPr>
        <w:t>La Tabla 17 (pp. 103-104) identifica como vacío la «limitada evidencia aplicada al contexto del Valle del Cauca» y como aporte la orientación del modelo a ese contexto. Díganme qué evidencia nueva del Valle incorporaron para cerrar ese vacío.</w:t>
      </w:r>
    </w:p>
    <w:p>
      <w:pPr>
        <w:pStyle w:val="ListNumber"/>
      </w:pPr>
      <w:r>
        <w:rPr>
          <w:rFonts w:ascii="Calibri" w:hAnsi="Calibri"/>
          <w:b w:val="0"/>
          <w:color w:val="2B2B2B"/>
          <w:sz w:val="22"/>
        </w:rPr>
        <w:t>La p. 29 cita «(IEA, 2023)» y en referencias hay IEA 2021a, 2022 y 2024, pero no 2023; y el Plan Energético Nacional figura como 2022-2052 (UPME, p. 127) y como 2024-2054 (Ministerio de Minas y Energía, p. 129). Díganme cuál PEN sustenta el análisis normativo.</w:t>
      </w:r>
    </w:p>
    <w:p>
      <w:pPr>
        <w:spacing w:before="140" w:after="60"/>
      </w:pPr>
      <w:r>
        <w:rPr>
          <w:rFonts w:ascii="Calibri" w:hAnsi="Calibri"/>
          <w:b/>
          <w:color w:val="0C2340"/>
          <w:sz w:val="27"/>
        </w:rPr>
        <w:t>De las diapositivas</w:t>
      </w:r>
    </w:p>
    <w:p>
      <w:pPr>
        <w:pStyle w:val="ListNumber"/>
      </w:pPr>
      <w:r>
        <w:rPr>
          <w:rFonts w:ascii="Calibri" w:hAnsi="Calibri"/>
          <w:b w:val="0"/>
          <w:color w:val="2B2B2B"/>
          <w:sz w:val="22"/>
        </w:rPr>
        <w:t>El título de su diapositiva 1 y la pregunta de su diapositiva 3 no coinciden con la portada (p. 1) ni con el apartado 2.3 (p. 18). Díganme, en voz alta, el título y la pregunta que defienden hoy.</w:t>
      </w:r>
    </w:p>
    <w:p>
      <w:pPr>
        <w:pStyle w:val="ListNumber"/>
      </w:pPr>
      <w:r>
        <w:rPr>
          <w:rFonts w:ascii="Calibri" w:hAnsi="Calibri"/>
          <w:b w:val="0"/>
          <w:color w:val="2B2B2B"/>
          <w:sz w:val="22"/>
        </w:rPr>
        <w:t>Su diapositiva 9 concluye que la solar es la opción «más viable» por «reducción de costos» y que el trabajo aporta a los ODS 7, 9 y 11. Díganme la página del documento donde se evalúan costos o se mencionan los ODS. (La evaluación técnica y económica queda como recomendación en la p. 125; «ODS» no aparece en las 129 páginas.)</w:t>
      </w:r>
    </w:p>
    <w:p>
      <w:pPr>
        <w:pStyle w:val="ListNumber"/>
      </w:pPr>
      <w:r>
        <w:rPr>
          <w:rFonts w:ascii="Calibri" w:hAnsi="Calibri"/>
          <w:b w:val="0"/>
          <w:color w:val="2B2B2B"/>
          <w:sz w:val="22"/>
        </w:rPr>
        <w:t>Ninguna de sus doce diapositivas proyecta la arquitectura conceptual de datos e IoT de la Figura 11 (p. 110). Díganme las seis etapas en orden y qué pasa en la de almacenamiento cuando la conectividad rural se cae. (Está en las pp. 107-110: almacenamiento local y sincronización posterior. Es la parte más sólida del producto y el mazo la deja fuera; preguntarla es darles la ocasión de mostrarla.)</w:t>
      </w:r>
    </w:p>
    <w:p>
      <w:pPr>
        <w:pStyle w:val="ListNumber"/>
      </w:pPr>
      <w:r>
        <w:rPr>
          <w:rFonts w:ascii="Calibri" w:hAnsi="Calibri"/>
          <w:b w:val="0"/>
          <w:color w:val="2B2B2B"/>
          <w:sz w:val="22"/>
        </w:rPr>
        <w:t>El bloque de referencias de su diapositiva 6 queda cortado por el borde inferior, y la única entrada que se alcanza a leer —«IEA (2022). World energy outlook 2022»— no coincide con la de su propia diapositiva 10 ni con la de su documento, que registra la IEA 2022 como «Digitalisation and energy» (p. 128). Díganme qué informe de la IEA sustenta la definición de transición energética del marco. (Es forma: si el tiempo aprieta, va a la retroalimentación escrita.)</w:t>
      </w:r>
    </w:p>
    <w:p>
      <w:pPr>
        <w:pStyle w:val="ListNumber"/>
      </w:pPr>
      <w:r>
        <w:rPr>
          <w:rFonts w:ascii="Calibri" w:hAnsi="Calibri"/>
          <w:b w:val="0"/>
          <w:color w:val="2B2B2B"/>
          <w:sz w:val="22"/>
        </w:rPr>
        <w:t>El Valle del Cauca aparece en siete de sus diez diapositivas con contenido —título, pregunta, objetivos, pertinencia, síntesis de metodología, aporte teórico y conclusiones—. Díganme qué se ve en el mazo que sea del Valle del Cauca y no de cualquier zona rural del país. (Es la entrada por pantalla de la pregunta prioritaria 2: se hace una de las dos, no las dos.)</w:t>
      </w:r>
    </w:p>
    <w:p>
      <w:pPr>
        <w:spacing w:before="200" w:after="60"/>
      </w:pPr>
      <w:r>
        <w:rPr>
          <w:rFonts w:ascii="Calibri" w:hAnsi="Calibri"/>
          <w:b/>
          <w:color w:val="007433"/>
          <w:sz w:val="32"/>
        </w:rPr>
        <w:t>7. PREGUNTAS DESPUÉS — condicionales, para marcar en caliente</w:t>
      </w:r>
    </w:p>
    <w:p>
      <w:pPr>
        <w:pStyle w:val="ListBullet"/>
      </w:pPr>
      <w:r>
        <w:rPr>
          <w:rFonts w:ascii="Calibri" w:hAnsi="Calibri"/>
          <w:b/>
          <w:color w:val="2B2B2B"/>
          <w:sz w:val="22"/>
        </w:rPr>
        <w:t>Si no proyectaron el modelo de cinco componentes ni la Figura 11</w:t>
      </w:r>
      <w:r>
        <w:rPr>
          <w:rFonts w:ascii="Calibri" w:hAnsi="Calibri"/>
          <w:b w:val="0"/>
          <w:color w:val="2B2B2B"/>
          <w:sz w:val="22"/>
        </w:rPr>
        <w:t xml:space="preserve"> → «Descríbanos el modelo: ¿cuáles son los cinco componentes, qué entra y qué sale de cada uno?» (Es su producto; si no lo muestran, hay que oírlo. Documento, pp. 104-107.)</w:t>
      </w:r>
    </w:p>
    <w:p>
      <w:pPr>
        <w:pStyle w:val="ListBullet"/>
      </w:pPr>
      <w:r>
        <w:rPr>
          <w:rFonts w:ascii="Calibri" w:hAnsi="Calibri"/>
          <w:b/>
          <w:color w:val="2B2B2B"/>
          <w:sz w:val="22"/>
        </w:rPr>
        <w:t>Si sí lo mostraron y quedó claro</w:t>
      </w:r>
      <w:r>
        <w:rPr>
          <w:rFonts w:ascii="Calibri" w:hAnsi="Calibri"/>
          <w:b w:val="0"/>
          <w:color w:val="2B2B2B"/>
          <w:sz w:val="22"/>
        </w:rPr>
        <w:t xml:space="preserve"> → saltar directo a la pregunta territorial (nº 2) y usar el tiempo restante en la de los porcentajes.</w:t>
      </w:r>
    </w:p>
    <w:p>
      <w:pPr>
        <w:pStyle w:val="ListBullet"/>
      </w:pPr>
      <w:r>
        <w:rPr>
          <w:rFonts w:ascii="Calibri" w:hAnsi="Calibri"/>
          <w:b/>
          <w:color w:val="2B2B2B"/>
          <w:sz w:val="22"/>
        </w:rPr>
        <w:t>Si dijeron «52 fuentes» en voz alta</w:t>
      </w:r>
      <w:r>
        <w:rPr>
          <w:rFonts w:ascii="Calibri" w:hAnsi="Calibri"/>
          <w:b w:val="0"/>
          <w:color w:val="2B2B2B"/>
          <w:sz w:val="22"/>
        </w:rPr>
        <w:t xml:space="preserve"> → «¿Cuántas de esas 52 son documentos distintos?» y dejar que reconstruyan el conteo (es la reserva nº 7: 31 en la Tabla 7, p. 76; 35 en la Figura 5, p. 80).</w:t>
      </w:r>
    </w:p>
    <w:p>
      <w:pPr>
        <w:pStyle w:val="ListBullet"/>
      </w:pPr>
      <w:r>
        <w:rPr>
          <w:rFonts w:ascii="Calibri" w:hAnsi="Calibri"/>
          <w:b/>
          <w:color w:val="2B2B2B"/>
          <w:sz w:val="22"/>
        </w:rPr>
        <w:t>Si afirmaron que el modelo «mejora la eficiencia», «reduce costos» o «optimiza» la gestión</w:t>
      </w:r>
      <w:r>
        <w:rPr>
          <w:rFonts w:ascii="Calibri" w:hAnsi="Calibri"/>
          <w:b w:val="0"/>
          <w:color w:val="2B2B2B"/>
          <w:sz w:val="22"/>
        </w:rPr>
        <w:t xml:space="preserve"> → «¿Con qué evidencia de este estudio? Su p. 123 dice que los resultados esperados no son efectos comprobados.» Es la pregunta que mide si entienden su propio alcance.</w:t>
      </w:r>
    </w:p>
    <w:p>
      <w:pPr>
        <w:pStyle w:val="ListBullet"/>
      </w:pPr>
      <w:r>
        <w:rPr>
          <w:rFonts w:ascii="Calibri" w:hAnsi="Calibri"/>
          <w:b/>
          <w:color w:val="2B2B2B"/>
          <w:sz w:val="22"/>
        </w:rPr>
        <w:t>Si mencionaron los ODS 7, 9 y 11</w:t>
      </w:r>
      <w:r>
        <w:rPr>
          <w:rFonts w:ascii="Calibri" w:hAnsi="Calibri"/>
          <w:b w:val="0"/>
          <w:color w:val="2B2B2B"/>
          <w:sz w:val="22"/>
        </w:rPr>
        <w:t xml:space="preserve"> → «¿En qué parte del documento se desarrolla ese aporte?» (No aparece en ninguna de las 129 páginas.)</w:t>
      </w:r>
    </w:p>
    <w:p>
      <w:pPr>
        <w:pStyle w:val="ListBullet"/>
      </w:pPr>
      <w:r>
        <w:rPr>
          <w:rFonts w:ascii="Calibri" w:hAnsi="Calibri"/>
          <w:b/>
          <w:color w:val="2B2B2B"/>
          <w:sz w:val="22"/>
        </w:rPr>
        <w:t>Si dijeron que hablaron con una comunidad, con la CVC o con la Gobernación</w:t>
      </w:r>
      <w:r>
        <w:rPr>
          <w:rFonts w:ascii="Calibri" w:hAnsi="Calibri"/>
          <w:b w:val="0"/>
          <w:color w:val="2B2B2B"/>
          <w:sz w:val="22"/>
        </w:rPr>
        <w:t xml:space="preserve"> → pedir el registro de esa consulta: cambiaría el alcance declarado en la p. 23, que dice que no hubo levantamiento en campo. Si existe y no está en el documento, es una omisión importante; si no existe, no debió decirse.</w:t>
      </w:r>
    </w:p>
    <w:p>
      <w:pPr>
        <w:pStyle w:val="ListBullet"/>
      </w:pPr>
      <w:r>
        <w:rPr>
          <w:rFonts w:ascii="Calibri" w:hAnsi="Calibri"/>
          <w:b/>
          <w:color w:val="2B2B2B"/>
          <w:sz w:val="22"/>
        </w:rPr>
        <w:t>Si mencionaron un piloto, una maqueta o un tablero funcionando</w:t>
      </w:r>
      <w:r>
        <w:rPr>
          <w:rFonts w:ascii="Calibri" w:hAnsi="Calibri"/>
          <w:b w:val="0"/>
          <w:color w:val="2B2B2B"/>
          <w:sz w:val="22"/>
        </w:rPr>
        <w:t xml:space="preserve"> → pedir la evidencia (captura, URL, repositorio). El alcance de la p. 23 lo excluye y el documento no reporta nada de eso.</w:t>
      </w:r>
    </w:p>
    <w:p>
      <w:pPr>
        <w:pStyle w:val="ListBullet"/>
      </w:pPr>
      <w:r>
        <w:rPr>
          <w:rFonts w:ascii="Calibri" w:hAnsi="Calibri"/>
          <w:b/>
          <w:color w:val="2B2B2B"/>
          <w:sz w:val="22"/>
        </w:rPr>
        <w:t>Si sólo habló Carlos Alberto Torres</w:t>
      </w:r>
      <w:r>
        <w:rPr>
          <w:rFonts w:ascii="Calibri" w:hAnsi="Calibri"/>
          <w:b w:val="0"/>
          <w:color w:val="2B2B2B"/>
          <w:sz w:val="22"/>
        </w:rPr>
        <w:t xml:space="preserve"> → pedir explícitamente a </w:t>
      </w:r>
      <w:r>
        <w:rPr>
          <w:rFonts w:ascii="Calibri" w:hAnsi="Calibri"/>
          <w:b/>
          <w:color w:val="2B2B2B"/>
          <w:sz w:val="22"/>
        </w:rPr>
        <w:t>Omaira Cicua</w:t>
      </w:r>
      <w:r>
        <w:rPr>
          <w:rFonts w:ascii="Calibri" w:hAnsi="Calibri"/>
          <w:b w:val="0"/>
          <w:color w:val="2B2B2B"/>
          <w:sz w:val="22"/>
        </w:rPr>
        <w:t xml:space="preserve"> o a </w:t>
      </w:r>
      <w:r>
        <w:rPr>
          <w:rFonts w:ascii="Calibri" w:hAnsi="Calibri"/>
          <w:b/>
          <w:color w:val="2B2B2B"/>
          <w:sz w:val="22"/>
        </w:rPr>
        <w:t>Ana Puentes</w:t>
      </w:r>
      <w:r>
        <w:rPr>
          <w:rFonts w:ascii="Calibri" w:hAnsi="Calibri"/>
          <w:b w:val="0"/>
          <w:color w:val="2B2B2B"/>
          <w:sz w:val="22"/>
        </w:rPr>
        <w:t xml:space="preserve"> que explique una de dos cosas: la ruta de construcción del modelo (8.8.1, p. 102) o las condiciones habilitadoras (8.6, pp. 94-96, Tabla 15). Es la vía legítima para verificar dominio individual.</w:t>
      </w:r>
    </w:p>
    <w:p>
      <w:pPr>
        <w:pStyle w:val="ListBullet"/>
      </w:pPr>
      <w:r>
        <w:rPr>
          <w:rFonts w:ascii="Calibri" w:hAnsi="Calibri"/>
          <w:b/>
          <w:color w:val="2B2B2B"/>
          <w:sz w:val="22"/>
        </w:rPr>
        <w:t>Si leyeron las infografías</w:t>
      </w:r>
      <w:r>
        <w:rPr>
          <w:rFonts w:ascii="Calibri" w:hAnsi="Calibri"/>
          <w:b w:val="0"/>
          <w:color w:val="2B2B2B"/>
          <w:sz w:val="22"/>
        </w:rPr>
        <w:t xml:space="preserve"> → hacer una pregunta que no esté en las diapositivas (la nº 4 o la nº 5 del banco): con mazos de 300-400 palabras por diapositiva, leer es la tentación y se nota.</w:t>
      </w:r>
    </w:p>
    <w:p>
      <w:pPr>
        <w:pStyle w:val="ListBullet"/>
      </w:pPr>
      <w:r>
        <w:rPr>
          <w:rFonts w:ascii="Calibri" w:hAnsi="Calibri"/>
          <w:b/>
          <w:color w:val="2B2B2B"/>
          <w:sz w:val="22"/>
        </w:rPr>
        <w:t>Si se pasaron de tiempo y saltaron resultados</w:t>
      </w:r>
      <w:r>
        <w:rPr>
          <w:rFonts w:ascii="Calibri" w:hAnsi="Calibri"/>
          <w:b w:val="0"/>
          <w:color w:val="2B2B2B"/>
          <w:sz w:val="22"/>
        </w:rPr>
        <w:t xml:space="preserve"> → ir directo al OE3 (8.5, pp. 90-93): «¿Qué encontraron ustedes que no estuviera ya dicho en la literatura?» Es donde el trabajo debe demostrar análisis y no compilación.</w:t>
      </w:r>
    </w:p>
    <w:p>
      <w:pPr>
        <w:pStyle w:val="ListBullet"/>
      </w:pPr>
      <w:r>
        <w:rPr>
          <w:rFonts w:ascii="Calibri" w:hAnsi="Calibri"/>
          <w:b/>
          <w:color w:val="2B2B2B"/>
          <w:sz w:val="22"/>
        </w:rPr>
        <w:t>Si la directora o el Jurado 1 ya preguntaron por el tamaño del corpus</w:t>
      </w:r>
      <w:r>
        <w:rPr>
          <w:rFonts w:ascii="Calibri" w:hAnsi="Calibri"/>
          <w:b w:val="0"/>
          <w:color w:val="2B2B2B"/>
          <w:sz w:val="22"/>
        </w:rPr>
        <w:t xml:space="preserve"> → no repetirla; pasar a la territorial y a la de los porcentajes.</w:t>
      </w:r>
    </w:p>
    <w:p>
      <w:pPr>
        <w:pStyle w:val="ListBullet"/>
      </w:pPr>
      <w:r>
        <w:rPr>
          <w:rFonts w:ascii="Calibri" w:hAnsi="Calibri"/>
          <w:b/>
          <w:color w:val="2B2B2B"/>
          <w:sz w:val="22"/>
        </w:rPr>
        <w:t>Si respondieron todo con solidez y sobra medio minuto</w:t>
      </w:r>
      <w:r>
        <w:rPr>
          <w:rFonts w:ascii="Calibri" w:hAnsi="Calibri"/>
          <w:b w:val="0"/>
          <w:color w:val="2B2B2B"/>
          <w:sz w:val="22"/>
        </w:rPr>
        <w:t xml:space="preserve"> → «¿Qué le sobra al modelo?» Es la pregunta que separa a quien defiende su trabajo de quien lo recita.</w:t>
      </w:r>
    </w:p>
    <w:p>
      <w:pPr>
        <w:spacing w:before="200" w:after="60"/>
      </w:pPr>
      <w:r>
        <w:rPr>
          <w:rFonts w:ascii="Calibri" w:hAnsi="Calibri"/>
          <w:b/>
          <w:color w:val="007433"/>
          <w:sz w:val="32"/>
        </w:rPr>
        <w:t>8. Umbrales de nota (escala 0,1–5,0, cuatro criterios del jurado)</w:t>
      </w:r>
    </w:p>
    <w:p>
      <w:r>
        <w:rPr>
          <w:rFonts w:ascii="Calibri" w:hAnsi="Calibri"/>
          <w:b w:val="0"/>
          <w:color w:val="2B2B2B"/>
          <w:sz w:val="22"/>
        </w:rPr>
        <w:t xml:space="preserve">Los cuatro criterios son </w:t>
      </w:r>
      <w:r>
        <w:rPr>
          <w:rFonts w:ascii="Calibri" w:hAnsi="Calibri"/>
          <w:b/>
          <w:color w:val="2B2B2B"/>
          <w:sz w:val="22"/>
        </w:rPr>
        <w:t>dominio del tema · claridad · coherencia del documento · capacidad de defensa</w:t>
      </w:r>
      <w:r>
        <w:rPr>
          <w:rFonts w:ascii="Calibri" w:hAnsi="Calibri"/>
          <w:b w:val="0"/>
          <w:color w:val="2B2B2B"/>
          <w:sz w:val="22"/>
        </w:rPr>
        <w:t>. El documento existe, tiene 129 páginas, está estructurado y declara sus límites: el piso está asegurado. Lo que se juega hoy es el techo, y lo decide la sustentación.</w:t>
      </w:r>
    </w:p>
    <w:p>
      <w:pPr>
        <w:pStyle w:val="ListBullet"/>
      </w:pPr>
      <w:r>
        <w:rPr>
          <w:rFonts w:ascii="Calibri" w:hAnsi="Calibri"/>
          <w:b/>
          <w:color w:val="2B2B2B"/>
          <w:sz w:val="22"/>
        </w:rPr>
        <w:t>Para 4,6 o más (es decir, proponer meritoria):</w:t>
      </w:r>
      <w:r>
        <w:rPr>
          <w:rFonts w:ascii="Calibri" w:hAnsi="Calibri"/>
          <w:b w:val="0"/>
          <w:color w:val="2B2B2B"/>
          <w:sz w:val="22"/>
        </w:rPr>
        <w:t xml:space="preserve"> necesito las cuatro cosas juntas. (a) Que expliquen el modelo </w:t>
      </w:r>
      <w:r>
        <w:rPr>
          <w:rFonts w:ascii="Calibri" w:hAnsi="Calibri"/>
          <w:b/>
          <w:color w:val="2B2B2B"/>
          <w:sz w:val="22"/>
        </w:rPr>
        <w:t>sin leer</w:t>
      </w:r>
      <w:r>
        <w:rPr>
          <w:rFonts w:ascii="Calibri" w:hAnsi="Calibri"/>
          <w:b w:val="0"/>
          <w:color w:val="2B2B2B"/>
          <w:sz w:val="22"/>
        </w:rPr>
        <w:t xml:space="preserve"> y sin depender de la diapositiva. (b) Que aclaren el número de fuentes y los porcentajes con honestidad, reconociendo el error si lo hubo. (c) Que sostengan con criterio qué es del Valle del Cauca y qué no. (d) Que hablen </w:t>
      </w:r>
      <w:r>
        <w:rPr>
          <w:rFonts w:ascii="Calibri" w:hAnsi="Calibri"/>
          <w:b/>
          <w:color w:val="2B2B2B"/>
          <w:sz w:val="22"/>
        </w:rPr>
        <w:t>al menos dos</w:t>
      </w:r>
      <w:r>
        <w:rPr>
          <w:rFonts w:ascii="Calibri" w:hAnsi="Calibri"/>
          <w:b w:val="0"/>
          <w:color w:val="2B2B2B"/>
          <w:sz w:val="22"/>
        </w:rPr>
        <w:t xml:space="preserve"> integrantes con dominio equivalente. Si el número de fuentes queda sin explicar, no puedo llegar a 4,6: recuerdo que una nota individual por debajo de 4,5 bloquea la meritoria del grupo entero, así que este umbral se aplica con cuidado y con página en la mano.</w:t>
      </w:r>
    </w:p>
    <w:p>
      <w:pPr>
        <w:pStyle w:val="ListBullet"/>
      </w:pPr>
      <w:r>
        <w:rPr>
          <w:rFonts w:ascii="Calibri" w:hAnsi="Calibri"/>
          <w:b/>
          <w:color w:val="2B2B2B"/>
          <w:sz w:val="22"/>
        </w:rPr>
        <w:t>4,0–4,4 (mi escenario base):</w:t>
      </w:r>
      <w:r>
        <w:rPr>
          <w:rFonts w:ascii="Calibri" w:hAnsi="Calibri"/>
          <w:b w:val="0"/>
          <w:color w:val="2B2B2B"/>
          <w:sz w:val="22"/>
        </w:rPr>
        <w:t xml:space="preserve"> defienden bien el alcance documental —que el documento ya defiende muy bien— y el modelo es descriptible, pero no explican los porcentajes de la diapositiva 8, o no distinguen entre el contexto de aplicación y la evidencia analizada, o la exposición depende de leer las infografías.</w:t>
      </w:r>
    </w:p>
    <w:p>
      <w:pPr>
        <w:pStyle w:val="ListBullet"/>
      </w:pPr>
      <w:r>
        <w:rPr>
          <w:rFonts w:ascii="Calibri" w:hAnsi="Calibri"/>
          <w:b/>
          <w:color w:val="2B2B2B"/>
          <w:sz w:val="22"/>
        </w:rPr>
        <w:t>3,6–3,9:</w:t>
      </w:r>
      <w:r>
        <w:rPr>
          <w:rFonts w:ascii="Calibri" w:hAnsi="Calibri"/>
          <w:b w:val="0"/>
          <w:color w:val="2B2B2B"/>
          <w:sz w:val="22"/>
        </w:rPr>
        <w:t xml:space="preserve"> muestran el trabajo pero no el producto (no aparece el modelo), o sostienen en sala las 52 fuentes y los porcentajes como si fueran del documento, o habla uno solo y los demás no pueden completar.</w:t>
      </w:r>
    </w:p>
    <w:p>
      <w:pPr>
        <w:pStyle w:val="ListBullet"/>
      </w:pPr>
      <w:r>
        <w:rPr>
          <w:rFonts w:ascii="Calibri" w:hAnsi="Calibri"/>
          <w:b/>
          <w:color w:val="2B2B2B"/>
          <w:sz w:val="22"/>
        </w:rPr>
        <w:t>3,0–3,5:</w:t>
      </w:r>
      <w:r>
        <w:rPr>
          <w:rFonts w:ascii="Calibri" w:hAnsi="Calibri"/>
          <w:b w:val="0"/>
          <w:color w:val="2B2B2B"/>
          <w:sz w:val="22"/>
        </w:rPr>
        <w:t xml:space="preserve"> no logran describir el modelo de cinco componentes que dicen haber diseñado, o confunden lo que hicieron con lo que recomiendan hacer, o un integrante no puede responder nada de su parte.</w:t>
      </w:r>
    </w:p>
    <w:p>
      <w:pPr>
        <w:pStyle w:val="ListBullet"/>
      </w:pPr>
      <w:r>
        <w:rPr>
          <w:rFonts w:ascii="Calibri" w:hAnsi="Calibri"/>
          <w:b/>
          <w:color w:val="2B2B2B"/>
          <w:sz w:val="22"/>
        </w:rPr>
        <w:t>Menos de 3,0:</w:t>
      </w:r>
      <w:r>
        <w:rPr>
          <w:rFonts w:ascii="Calibri" w:hAnsi="Calibri"/>
          <w:b w:val="0"/>
          <w:color w:val="2B2B2B"/>
          <w:sz w:val="22"/>
        </w:rPr>
        <w:t xml:space="preserve"> no lo veo con este documento.</w:t>
      </w:r>
    </w:p>
    <w:p>
      <w:pPr>
        <w:pStyle w:val="ListBullet"/>
      </w:pPr>
      <w:r>
        <w:rPr>
          <w:rFonts w:ascii="Calibri" w:hAnsi="Calibri"/>
          <w:b/>
          <w:color w:val="2B2B2B"/>
          <w:sz w:val="22"/>
        </w:rPr>
        <w:t>5,0 / laureada:</w:t>
      </w:r>
      <w:r>
        <w:rPr>
          <w:rFonts w:ascii="Calibri" w:hAnsi="Calibri"/>
          <w:b w:val="0"/>
          <w:color w:val="2B2B2B"/>
          <w:sz w:val="22"/>
        </w:rPr>
        <w:t xml:space="preserve"> no. Un modelo conceptual sin ningún contraste —ni juicio de expertos, que era barato y admisible en este nivel (p. 23)— y un mazo que contradice al documento en el tamaño del corpus, no es una laureada, por bien que sustenten.</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1. Planteamiento de la problemática y formulación de objetivos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Claridad, pertinencia y delimitación del problema de investigación, así como la coherencia y precisión de los objetivos propuestos, verificando su alineación con el propósito del estudio y su viabilidad investigativa.</w:t>
      </w:r>
    </w:p>
    <w:p>
      <w:r>
        <w:rPr>
          <w:rFonts w:ascii="Calibri" w:hAnsi="Calibri"/>
          <w:b w:val="0"/>
          <w:color w:val="2B2B2B"/>
          <w:sz w:val="22"/>
        </w:rPr>
        <w:t xml:space="preserve">Lo mejor de este planteamiento es la honestidad del verbo: el objetivo dice </w:t>
      </w:r>
      <w:r>
        <w:rPr>
          <w:rFonts w:ascii="Calibri" w:hAnsi="Calibri"/>
          <w:b/>
          <w:color w:val="2B2B2B"/>
          <w:sz w:val="22"/>
        </w:rPr>
        <w:t>«proponer»</w:t>
      </w:r>
      <w:r>
        <w:rPr>
          <w:rFonts w:ascii="Calibri" w:hAnsi="Calibri"/>
          <w:b w:val="0"/>
          <w:color w:val="2B2B2B"/>
          <w:sz w:val="22"/>
        </w:rPr>
        <w:t xml:space="preserve"> (p. 19) y el trabajo se queda dentro, sin inflar el alcance —algo que en este cohorte es la excepción—. El reparo de fondo está en la delimitación territorial: el título y el objetivo anclan el estudio al Valle del Cauca y </w:t>
      </w:r>
      <w:r>
        <w:rPr>
          <w:rFonts w:ascii="Calibri" w:hAnsi="Calibri"/>
          <w:b/>
          <w:color w:val="2B2B2B"/>
          <w:sz w:val="22"/>
        </w:rPr>
        <w:t>ninguna de las fuentes de la matriz tiene alcance Valle del Cauca</w:t>
      </w:r>
      <w:r>
        <w:rPr>
          <w:rFonts w:ascii="Calibri" w:hAnsi="Calibri"/>
          <w:b w:val="0"/>
          <w:color w:val="2B2B2B"/>
          <w:sz w:val="22"/>
        </w:rPr>
        <w:t xml:space="preserve"> (pp. 43-48); los documentos de la Gobernación, la CVC y el DANE están en las referencias (p. 127) y no en el corpus, mientras la p. 77 afirma la contextualización regional. La delimitación es nominal.</w:t>
      </w:r>
    </w:p>
    <w:p>
      <w:r>
        <w:rPr>
          <w:rFonts w:ascii="Calibri" w:hAnsi="Calibri"/>
          <w:b/>
          <w:color w:val="2B2B2B"/>
          <w:sz w:val="22"/>
        </w:rPr>
        <w:t>2. Marco teórico y referentes conceptuales</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Solidez del sustento teórico del proyecto, la pertinencia y actualidad de las fuentes consultadas, y la capacidad de articular conceptos, enfoques y antecedentes que fundamenten adecuadamente la investigación.</w:t>
      </w:r>
    </w:p>
    <w:p>
      <w:r>
        <w:rPr>
          <w:rFonts w:ascii="Calibri" w:hAnsi="Calibri"/>
          <w:b w:val="0"/>
          <w:color w:val="2B2B2B"/>
          <w:sz w:val="22"/>
        </w:rPr>
        <w:t xml:space="preserve">Es su criterio más fuerte, y con razón: el trabajo </w:t>
      </w:r>
      <w:r>
        <w:rPr>
          <w:rFonts w:ascii="Calibri" w:hAnsi="Calibri"/>
          <w:b/>
          <w:color w:val="2B2B2B"/>
          <w:sz w:val="22"/>
        </w:rPr>
        <w:t>es</w:t>
      </w:r>
      <w:r>
        <w:rPr>
          <w:rFonts w:ascii="Calibri" w:hAnsi="Calibri"/>
          <w:b w:val="0"/>
          <w:color w:val="2B2B2B"/>
          <w:sz w:val="22"/>
        </w:rPr>
        <w:t xml:space="preserve"> una síntesis documental, con corpus explícito de 35 fuentes codificadas D01-D35 (p. 40) y una matriz de caracterización que se puede auditar. Reparo que impide el 5: hay </w:t>
      </w:r>
      <w:r>
        <w:rPr>
          <w:rFonts w:ascii="Calibri" w:hAnsi="Calibri"/>
          <w:b/>
          <w:color w:val="2B2B2B"/>
          <w:sz w:val="22"/>
        </w:rPr>
        <w:t>cuatro duplicados</w:t>
      </w:r>
      <w:r>
        <w:rPr>
          <w:rFonts w:ascii="Calibri" w:hAnsi="Calibri"/>
          <w:b w:val="0"/>
          <w:color w:val="2B2B2B"/>
          <w:sz w:val="22"/>
        </w:rPr>
        <w:t xml:space="preserve"> —IEA 2022 como D06 y D16, Verhoef como D07 y D19, Deloitte como D08 y D17, McKinsey como D09 y D18—, de modo que el corpus real es de </w:t>
      </w:r>
      <w:r>
        <w:rPr>
          <w:rFonts w:ascii="Calibri" w:hAnsi="Calibri"/>
          <w:b/>
          <w:color w:val="2B2B2B"/>
          <w:sz w:val="22"/>
        </w:rPr>
        <w:t>31 fuentes únicas</w:t>
      </w:r>
      <w:r>
        <w:rPr>
          <w:rFonts w:ascii="Calibri" w:hAnsi="Calibri"/>
          <w:b w:val="0"/>
          <w:color w:val="2B2B2B"/>
          <w:sz w:val="22"/>
        </w:rPr>
        <w:t>, que es justo lo que suma la Tabla 7 (p. 76) sin que nadie lo advierta; y el mazo dice 52 en la diapositiva 7 y 35 en la 8. Quedan además entradas sin año y un «(o documento oficial vigente)» sin editar.</w:t>
      </w:r>
    </w:p>
    <w:p>
      <w:r>
        <w:rPr>
          <w:rFonts w:ascii="Calibri" w:hAnsi="Calibri"/>
          <w:b/>
          <w:color w:val="2B2B2B"/>
          <w:sz w:val="22"/>
        </w:rPr>
        <w:t>3. Metodología, muestra y coherencia del diseño</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Correspondencia entre el enfoque metodológico, el tipo de estudio, las técnicas e instrumentos de recolección de información y la definición de la muestra, garantizando la coherencia interna del diseño investigativo.</w:t>
      </w:r>
    </w:p>
    <w:p>
      <w:r>
        <w:rPr>
          <w:rFonts w:ascii="Calibri" w:hAnsi="Calibri"/>
          <w:b w:val="0"/>
          <w:color w:val="2B2B2B"/>
          <w:sz w:val="22"/>
        </w:rPr>
        <w:t>El diseño documental es apropiado al verbo «proponer» y hay una precaución que conviene reconocer: la p. 42 declara que la codificación en Excel «no se utilizó como un procedimiento de análisis estadístico», lo que evita el abuso más común de este tipo de estudio. Lo que lo deja en 3: la muestra —que aquí es el corpus— se reporta con tres tamaños distintos (35 en el documento, 52 y 35 en el mazo, 31 reales) y la duplicación no se controló.</w:t>
      </w:r>
    </w:p>
    <w:p>
      <w:r>
        <w:rPr>
          <w:rFonts w:ascii="Calibri" w:hAnsi="Calibri"/>
          <w:b/>
          <w:color w:val="2B2B2B"/>
          <w:sz w:val="22"/>
        </w:rPr>
        <w:t>4. Resultados y conclusiones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Calidad en la presentación, interpretación y análisis de los resultados obtenidos, así como la consistencia y pertinencia de las conclusiones en relación con los objetivos, la problemática y el marco teórico del estudio.</w:t>
      </w:r>
    </w:p>
    <w:p>
      <w:r>
        <w:rPr>
          <w:rFonts w:ascii="Calibri" w:hAnsi="Calibri"/>
          <w:b w:val="0"/>
          <w:color w:val="2B2B2B"/>
          <w:sz w:val="22"/>
        </w:rPr>
        <w:t xml:space="preserve">El producto es describible y coherente con lo prometido: modelo de cinco componentes, arquitectura de datos e IoT en seis etapas (Fig. 11, p. 110), siete riesgos con alternativas (Tabla 19) y ruta de aplicación (Fig. 12, p. 116). Dos cosas lo frenan. Primera, </w:t>
      </w:r>
      <w:r>
        <w:rPr>
          <w:rFonts w:ascii="Calibri" w:hAnsi="Calibri"/>
          <w:b/>
          <w:color w:val="2B2B2B"/>
          <w:sz w:val="22"/>
        </w:rPr>
        <w:t>las diapositivas inventan tres cifras —87 %, 81 % y 76 %— que no existen en ninguna de las 129 páginas</w:t>
      </w:r>
      <w:r>
        <w:rPr>
          <w:rFonts w:ascii="Calibri" w:hAnsi="Calibri"/>
          <w:b w:val="0"/>
          <w:color w:val="2B2B2B"/>
          <w:sz w:val="22"/>
        </w:rPr>
        <w:t xml:space="preserve"> (§5, punto 2), y la diapositiva 9 atribuye ODS 7/9/11 y reducción de costos que el documento nunca evalúa. Segunda, el techo está declarado y es real: </w:t>
      </w:r>
      <w:r>
        <w:rPr>
          <w:rFonts w:ascii="Calibri" w:hAnsi="Calibri"/>
          <w:b/>
          <w:color w:val="2B2B2B"/>
          <w:sz w:val="22"/>
        </w:rPr>
        <w:t>no hay juicio de expertos, ni piloto, ni validación</w:t>
      </w:r>
      <w:r>
        <w:rPr>
          <w:rFonts w:ascii="Calibri" w:hAnsi="Calibri"/>
          <w:b w:val="0"/>
          <w:color w:val="2B2B2B"/>
          <w:sz w:val="22"/>
        </w:rPr>
        <w:t xml:space="preserve"> (p. 23), así que las conclusiones no pueden ir más allá de una propuesta —y no van—. Curiosamente, el producto bueno no está en el mazo.</w:t>
      </w:r>
    </w:p>
    <w:p>
      <w:r>
        <w:rPr>
          <w:rFonts w:ascii="Calibri" w:hAnsi="Calibri"/>
          <w:b/>
          <w:color w:val="2B2B2B"/>
          <w:sz w:val="22"/>
        </w:rPr>
        <w:t>5. Pertinencia disciplinar y articulación con la especialización</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Grado de alineación del proyecto con el campo disciplinar y los énfasis de la especialización cursada, así como su aporte potencial al desarrollo académico, profesional o investigativo del área.</w:t>
      </w:r>
    </w:p>
    <w:p>
      <w:r>
        <w:rPr>
          <w:rFonts w:ascii="Calibri" w:hAnsi="Calibri"/>
          <w:b w:val="0"/>
          <w:color w:val="2B2B2B"/>
          <w:sz w:val="22"/>
        </w:rPr>
        <w:t>El anclaje con la especialización pasa por la arquitectura de datos e IoT del modelo, que sí es transformación digital; el contenido energético es más sectorial que disciplinar, y la línea registrada es «Desarrollo de soluciones técnicas aplicadas». Sin validación de ningún tipo, el aporte potencial queda enunciado.</w:t>
      </w:r>
    </w:p>
    <w:p>
      <w:r>
        <w:rPr>
          <w:rFonts w:ascii="Calibri" w:hAnsi="Calibri"/>
          <w:b/>
          <w:color w:val="2B2B2B"/>
          <w:sz w:val="22"/>
        </w:rPr>
        <w:t>Suma propuesta: 16 / 25.</w:t>
      </w:r>
    </w:p>
    <w:p>
      <w:r>
        <w:rPr>
          <w:rFonts w:ascii="Calibri" w:hAnsi="Calibri"/>
          <w:b/>
          <w:color w:val="2B2B2B"/>
          <w:sz w:val="22"/>
        </w:rPr>
        <w:t>Qué subiría una casilla en sala:</w:t>
      </w:r>
      <w:r>
        <w:rPr>
          <w:rFonts w:ascii="Calibri" w:hAnsi="Calibri"/>
          <w:b w:val="0"/>
          <w:color w:val="2B2B2B"/>
          <w:sz w:val="22"/>
        </w:rPr>
        <w:t xml:space="preserve"> El </w:t>
      </w:r>
      <w:r>
        <w:rPr>
          <w:rFonts w:ascii="Calibri" w:hAnsi="Calibri"/>
          <w:b/>
          <w:color w:val="2B2B2B"/>
          <w:sz w:val="22"/>
        </w:rPr>
        <w:t>criterio 4 pasa a 4</w:t>
      </w:r>
      <w:r>
        <w:rPr>
          <w:rFonts w:ascii="Calibri" w:hAnsi="Calibri"/>
          <w:b w:val="0"/>
          <w:color w:val="2B2B2B"/>
          <w:sz w:val="22"/>
        </w:rPr>
        <w:t xml:space="preserve"> si exponen el modelo real —la arquitectura de seis etapas, los siete riesgos, la ruta de aplicación— en lugar de los tres porcentajes inventados, y si dicen de dónde salen esos porcentajes o los retiran (pregunta prioritaria 3). El </w:t>
      </w:r>
      <w:r>
        <w:rPr>
          <w:rFonts w:ascii="Calibri" w:hAnsi="Calibri"/>
          <w:b/>
          <w:color w:val="2B2B2B"/>
          <w:sz w:val="22"/>
        </w:rPr>
        <w:t>criterio 1 pasa a 4</w:t>
      </w:r>
      <w:r>
        <w:rPr>
          <w:rFonts w:ascii="Calibri" w:hAnsi="Calibri"/>
          <w:b w:val="0"/>
          <w:color w:val="2B2B2B"/>
          <w:sz w:val="22"/>
        </w:rPr>
        <w:t xml:space="preserve"> si distinguen qué parte del modelo es específica del Valle del Cauca y qué parte sería idéntica en cualquier zona rural del país (pregunta 2).</w:t>
      </w:r>
    </w:p>
    <w:p>
      <w:r>
        <w:rPr>
          <w:rFonts w:ascii="Calibri" w:hAnsi="Calibri"/>
          <w:b/>
          <w:color w:val="2B2B2B"/>
          <w:sz w:val="22"/>
        </w:rPr>
        <w:t>Qué la bajaría:</w:t>
      </w:r>
      <w:r>
        <w:rPr>
          <w:rFonts w:ascii="Calibri" w:hAnsi="Calibri"/>
          <w:b w:val="0"/>
          <w:color w:val="2B2B2B"/>
          <w:sz w:val="22"/>
        </w:rPr>
        <w:t xml:space="preserve"> El </w:t>
      </w:r>
      <w:r>
        <w:rPr>
          <w:rFonts w:ascii="Calibri" w:hAnsi="Calibri"/>
          <w:b/>
          <w:color w:val="2B2B2B"/>
          <w:sz w:val="22"/>
        </w:rPr>
        <w:t>criterio 2 baja a 3</w:t>
      </w:r>
      <w:r>
        <w:rPr>
          <w:rFonts w:ascii="Calibri" w:hAnsi="Calibri"/>
          <w:b w:val="0"/>
          <w:color w:val="2B2B2B"/>
          <w:sz w:val="22"/>
        </w:rPr>
        <w:t xml:space="preserve"> si sostienen las 52 fuentes o no pueden explicar la duplicación (pregunta 1). Aviso operativo antes de proyectar: el PDF del mazo tiene 141 páginas porque desde la 13 trae pegado el documento completo — </w:t>
      </w:r>
      <w:r>
        <w:rPr>
          <w:rFonts w:ascii="Calibri" w:hAnsi="Calibri"/>
          <w:b/>
          <w:color w:val="2B2B2B"/>
          <w:sz w:val="22"/>
        </w:rPr>
        <w:t>hay que pararse en la diapositiva 12</w:t>
      </w:r>
      <w:r>
        <w:rPr>
          <w:rFonts w:ascii="Calibri" w:hAnsi="Calibri"/>
          <w:b w:val="0"/>
          <w:color w:val="2B2B2B"/>
          <w:sz w:val="22"/>
        </w:rPr>
        <w:t>.</w:t>
      </w:r>
    </w:p>
    <w:p>
      <w:pPr>
        <w:spacing w:before="200" w:after="60"/>
      </w:pPr>
      <w:r>
        <w:rPr>
          <w:rFonts w:ascii="Calibri" w:hAnsi="Calibri"/>
          <w:b/>
          <w:color w:val="007433"/>
          <w:sz w:val="32"/>
        </w:rPr>
        <w:t>9. Observaciones administrativas (no académicas)</w:t>
      </w:r>
    </w:p>
    <w:p>
      <w:pPr>
        <w:pStyle w:val="ListNumber"/>
      </w:pPr>
      <w:r>
        <w:rPr>
          <w:rFonts w:ascii="Calibri" w:hAnsi="Calibri"/>
          <w:b/>
          <w:color w:val="2B2B2B"/>
          <w:sz w:val="22"/>
        </w:rPr>
        <w:t>Equipo de 3 integrantes:</w:t>
      </w:r>
      <w:r>
        <w:rPr>
          <w:rFonts w:ascii="Calibri" w:hAnsi="Calibri"/>
          <w:b w:val="0"/>
          <w:color w:val="2B2B2B"/>
          <w:sz w:val="22"/>
        </w:rPr>
        <w:t xml:space="preserve"> dentro del máximo permitido en Proyecto I/II de especialización. Sin observación.</w:t>
      </w:r>
    </w:p>
    <w:p>
      <w:pPr>
        <w:pStyle w:val="ListNumber"/>
      </w:pPr>
      <w:r>
        <w:rPr>
          <w:rFonts w:ascii="Calibri" w:hAnsi="Calibri"/>
          <w:b/>
          <w:color w:val="2B2B2B"/>
          <w:sz w:val="22"/>
        </w:rPr>
        <w:t>Correo por verificar:</w:t>
      </w:r>
      <w:r>
        <w:rPr>
          <w:rFonts w:ascii="Calibri" w:hAnsi="Calibri"/>
          <w:b w:val="0"/>
          <w:color w:val="2B2B2B"/>
          <w:sz w:val="22"/>
        </w:rPr>
        <w:t xml:space="preserve"> en el cronograma Ana Fernanda Puentes Robles figura como </w:t>
      </w:r>
      <w:r>
        <w:rPr>
          <w:rFonts w:ascii="Consolas" w:hAnsi="Consolas"/>
          <w:color w:val="111111"/>
          <w:sz w:val="21"/>
        </w:rPr>
        <w:t>ana.puestesr@cun.edu.co</w:t>
      </w:r>
      <w:r>
        <w:rPr>
          <w:rFonts w:ascii="Calibri" w:hAnsi="Calibri"/>
          <w:b w:val="0"/>
          <w:color w:val="2B2B2B"/>
          <w:sz w:val="22"/>
        </w:rPr>
        <w:t>; parece errata de «puentesr». Confirmarlo antes de firmar actas o enviar retroalimentación.</w:t>
      </w:r>
    </w:p>
    <w:p>
      <w:pPr>
        <w:pStyle w:val="ListNumber"/>
      </w:pPr>
      <w:r>
        <w:rPr>
          <w:rFonts w:ascii="Calibri" w:hAnsi="Calibri"/>
          <w:b/>
          <w:color w:val="2B2B2B"/>
          <w:sz w:val="22"/>
        </w:rPr>
        <w:t>La directora del proyecto es la moderadora de la sala.</w:t>
      </w:r>
      <w:r>
        <w:rPr>
          <w:rFonts w:ascii="Calibri" w:hAnsi="Calibri"/>
          <w:b w:val="0"/>
          <w:color w:val="2B2B2B"/>
          <w:sz w:val="22"/>
        </w:rPr>
        <w:t xml:space="preserve"> La portada (p. 2) registra a María Fernanda Rivera Sanclemente como directora, y es quien modera y aporta el 75% de la nota como metodóloga. Nada irregular; conviene tenerlo presente al comentar debilidades del documento en público y dejar los hallazgos de forma para el informe escrito.</w:t>
      </w:r>
    </w:p>
    <w:p>
      <w:pPr>
        <w:pStyle w:val="ListNumber"/>
      </w:pPr>
      <w:r>
        <w:rPr>
          <w:rFonts w:ascii="Calibri" w:hAnsi="Calibri"/>
          <w:b/>
          <w:color w:val="2B2B2B"/>
          <w:sz w:val="22"/>
        </w:rPr>
        <w:t>Aviso operativo antes de que empiecen:</w:t>
      </w:r>
      <w:r>
        <w:rPr>
          <w:rFonts w:ascii="Calibri" w:hAnsi="Calibri"/>
          <w:b w:val="0"/>
          <w:color w:val="2B2B2B"/>
          <w:sz w:val="22"/>
        </w:rPr>
        <w:t xml:space="preserve"> el PDF de la presentación tiene 141 páginas porque desde la p. 13 trae pegado el documento completo. Si proyectan ese archivo, hay que pararse en la diapositiva 12; si avanzan una más, aparece la portada del trabajo.</w:t>
      </w:r>
    </w:p>
    <w:p>
      <w:pPr>
        <w:pStyle w:val="ListNumber"/>
      </w:pPr>
      <w:r>
        <w:rPr>
          <w:rFonts w:ascii="Calibri" w:hAnsi="Calibri"/>
          <w:b/>
          <w:color w:val="2B2B2B"/>
          <w:sz w:val="22"/>
        </w:rPr>
        <w:t>Sin reporte de similitud ni declaración de uso de IA generativa</w:t>
      </w:r>
      <w:r>
        <w:rPr>
          <w:rFonts w:ascii="Calibri" w:hAnsi="Calibri"/>
          <w:b w:val="0"/>
          <w:color w:val="2B2B2B"/>
          <w:sz w:val="22"/>
        </w:rPr>
        <w:t xml:space="preserve"> en preliminares (pp. 11-12) ni en el resto del documento. Es del resorte del metodólogo y de la Dirección del Programa; no afecta la nota del jurado.</w:t>
      </w:r>
    </w:p>
    <w:p>
      <w:pPr>
        <w:pStyle w:val="ListNumber"/>
      </w:pPr>
      <w:r>
        <w:rPr>
          <w:rFonts w:ascii="Calibri" w:hAnsi="Calibri"/>
          <w:b/>
          <w:color w:val="2B2B2B"/>
          <w:sz w:val="22"/>
        </w:rPr>
        <w:t>Sin sección de Anexos</w:t>
      </w:r>
      <w:r>
        <w:rPr>
          <w:rFonts w:ascii="Calibri" w:hAnsi="Calibri"/>
          <w:b w:val="0"/>
          <w:color w:val="2B2B2B"/>
          <w:sz w:val="22"/>
        </w:rPr>
        <w:t xml:space="preserve"> (contenido, pp. 3-5). El archivo Excel que se menciona en la p. 42 no está en la carpeta del grupo, que sólo contiene los dos PDF; en la práctica no hace falta, porque las dos matrices están transcritas en las Tablas 3 y 4 (pp. 43-66).</w:t>
      </w:r>
    </w:p>
    <w:p>
      <w:pPr>
        <w:pStyle w:val="ListNumber"/>
      </w:pPr>
      <w:r>
        <w:rPr>
          <w:rFonts w:ascii="Calibri" w:hAnsi="Calibri"/>
          <w:b/>
          <w:color w:val="2B2B2B"/>
          <w:sz w:val="22"/>
        </w:rPr>
        <w:t>Una sola versión entregada</w:t>
      </w:r>
      <w:r>
        <w:rPr>
          <w:rFonts w:ascii="Calibri" w:hAnsi="Calibri"/>
          <w:b w:val="0"/>
          <w:color w:val="2B2B2B"/>
          <w:sz w:val="22"/>
        </w:rPr>
        <w:t xml:space="preserve"> (</w:t>
      </w:r>
      <w:r>
        <w:rPr>
          <w:rFonts w:ascii="Consolas" w:hAnsi="Consolas"/>
          <w:color w:val="111111"/>
          <w:sz w:val="21"/>
        </w:rPr>
        <w:t>ACA3_V1</w:t>
      </w:r>
      <w:r>
        <w:rPr>
          <w:rFonts w:ascii="Calibri" w:hAnsi="Calibri"/>
          <w:b w:val="0"/>
          <w:color w:val="2B2B2B"/>
          <w:sz w:val="22"/>
        </w:rPr>
        <w:t>), fechada el 09 de agosto de 2026 en la portada (p. 1). No hubo que decidir entre versiones.</w:t>
      </w:r>
    </w:p>
    <w:p>
      <w:pPr>
        <w:pStyle w:val="ListNumber"/>
      </w:pPr>
      <w:r>
        <w:rPr>
          <w:rFonts w:ascii="Calibri" w:hAnsi="Calibri"/>
          <w:b/>
          <w:color w:val="2B2B2B"/>
          <w:sz w:val="22"/>
        </w:rPr>
        <w:t>Erratas de forma</w:t>
      </w:r>
      <w:r>
        <w:rPr>
          <w:rFonts w:ascii="Calibri" w:hAnsi="Calibri"/>
          <w:b w:val="0"/>
          <w:color w:val="2B2B2B"/>
          <w:sz w:val="22"/>
        </w:rPr>
        <w:t xml:space="preserve"> (para el informe escrito, no para la sala): «(2024-2025)» incrustado en la p. 17; lista de referencias sin alfabetizar, con entradas sin año y con la nota de trabajo «(o documento oficial vigente)» en la p. 127; cita «(IEA, 2023)» en la p. 29 sin entrada correspondiente en referencias (hay 2021a, 2022 y 2024) y dos Planes Energéticos Nacionales distintos (2022-2052, p. 127; 2024-2054, p. 129). Las del mazo —las frases corrompidas de las diapositivas 2 y 3, el bloque de referencias cortado por el borde en la 6, la lista que se detiene en Mandelli en la 10, el texto de plantilla que quedó invisible bajo las imágenes de la 4 y la 9, y los dos divisores sin editar de la 11 y la 12— están en la </w:t>
      </w:r>
      <w:r>
        <w:rPr>
          <w:rFonts w:ascii="Calibri" w:hAnsi="Calibri"/>
          <w:b/>
          <w:color w:val="2B2B2B"/>
          <w:sz w:val="22"/>
        </w:rPr>
        <w:t>§5</w:t>
      </w:r>
      <w:r>
        <w:rPr>
          <w:rFonts w:ascii="Calibri" w:hAnsi="Calibri"/>
          <w:b w:val="0"/>
          <w:color w:val="2B2B2B"/>
          <w:sz w:val="22"/>
        </w:rPr>
        <w:t>, que es donde se revisa el mazo.</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