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26ET2-G-009 — Transformación digital en la gestión de Recursos Humanos de una empresa del sector retail en Colombia, región Bogotá Sur: Diseño de un ecosistema digital mediante células ágiles para la optimización de procesos</w:t>
      </w:r>
    </w:p>
    <w:p>
      <w:r>
        <w:rPr>
          <w:rFonts w:ascii="Calibri" w:hAnsi="Calibri"/>
          <w:b/>
          <w:color w:val="2B2B2B"/>
          <w:sz w:val="22"/>
        </w:rPr>
        <w:t>Sustentación:</w:t>
      </w:r>
      <w:r>
        <w:rPr>
          <w:rFonts w:ascii="Calibri" w:hAnsi="Calibri"/>
          <w:b w:val="0"/>
          <w:color w:val="2B2B2B"/>
          <w:sz w:val="22"/>
        </w:rPr>
        <w:t xml:space="preserve"> martes 18 de agosto de 2026 · 8:40 p.m. – 9:00 p.m. (</w:t>
      </w:r>
      <w:r>
        <w:rPr>
          <w:rFonts w:ascii="Calibri" w:hAnsi="Calibri"/>
          <w:b/>
          <w:color w:val="2B2B2B"/>
          <w:sz w:val="22"/>
        </w:rPr>
        <w:t>último turno del día</w:t>
      </w:r>
      <w:r>
        <w:rPr>
          <w:rFonts w:ascii="Calibri" w:hAnsi="Calibri"/>
          <w:b w:val="0"/>
          <w:color w:val="2B2B2B"/>
          <w:sz w:val="22"/>
        </w:rPr>
        <w:t xml:space="preserve">)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Yulieth Paola Rodríguez Roqueme (yulieth.rodriguezro@cun.edu.co), Loren Jasbleydi Prieto Cuenca (loren.prieto@cun.edu.co)</w:t>
      </w:r>
    </w:p>
    <w:p>
      <w:r>
        <w:rPr>
          <w:rFonts w:ascii="Calibri" w:hAnsi="Calibri"/>
          <w:b/>
          <w:color w:val="2B2B2B"/>
          <w:sz w:val="22"/>
        </w:rPr>
        <w:t>Línea:</w:t>
      </w:r>
      <w:r>
        <w:rPr>
          <w:rFonts w:ascii="Calibri" w:hAnsi="Calibri"/>
          <w:b w:val="0"/>
          <w:color w:val="2B2B2B"/>
          <w:sz w:val="22"/>
        </w:rPr>
        <w:t xml:space="preserve"> el cronograma de la Dirección la registra como «Arquitectura y estrategias para la transformación digital en las organizaciones»; la portada del trabajo declara «Gestión y Tecnología» (p. 1) y la segunda página la deja en blanco (p. 2). Discrepancia administrativa, ver §9.</w:t>
      </w:r>
    </w:p>
    <w:p>
      <w:r>
        <w:rPr>
          <w:rFonts w:ascii="Calibri" w:hAnsi="Calibri"/>
          <w:b/>
          <w:color w:val="2B2B2B"/>
          <w:sz w:val="22"/>
        </w:rPr>
        <w:t>Documentos leídos:</w:t>
      </w:r>
    </w:p>
    <w:p>
      <w:pPr>
        <w:pStyle w:val="ListBullet"/>
      </w:pPr>
      <w:r>
        <w:rPr>
          <w:rFonts w:ascii="Consolas" w:hAnsi="Consolas"/>
          <w:color w:val="111111"/>
          <w:sz w:val="21"/>
        </w:rPr>
        <w:t>PROYECTO DE GRADO - YULIETH RODRIGUEZ - LOREN PRIETO.pdf</w:t>
      </w:r>
      <w:r>
        <w:rPr>
          <w:rFonts w:ascii="Calibri" w:hAnsi="Calibri"/>
          <w:b w:val="0"/>
          <w:color w:val="2B2B2B"/>
          <w:sz w:val="22"/>
        </w:rPr>
        <w:t xml:space="preserve"> — </w:t>
      </w:r>
      <w:r>
        <w:rPr>
          <w:rFonts w:ascii="Calibri" w:hAnsi="Calibri"/>
          <w:b/>
          <w:color w:val="2B2B2B"/>
          <w:sz w:val="22"/>
        </w:rPr>
        <w:t>126 páginas</w:t>
      </w:r>
      <w:r>
        <w:rPr>
          <w:rFonts w:ascii="Calibri" w:hAnsi="Calibri"/>
          <w:b w:val="0"/>
          <w:color w:val="2B2B2B"/>
          <w:sz w:val="22"/>
        </w:rPr>
        <w:t xml:space="preserve"> (trabajo de grado; única versión en la carpeta, sin sufijo de versión).</w:t>
      </w:r>
    </w:p>
    <w:p>
      <w:pPr>
        <w:pStyle w:val="ListBullet"/>
      </w:pPr>
      <w:r>
        <w:rPr>
          <w:rFonts w:ascii="Consolas" w:hAnsi="Consolas"/>
          <w:color w:val="111111"/>
          <w:sz w:val="21"/>
        </w:rPr>
        <w:t>Sustentación Proyecto de grado- Loren Prieto - Yulieth Rodriguez.pdf</w:t>
      </w:r>
      <w:r>
        <w:rPr>
          <w:rFonts w:ascii="Calibri" w:hAnsi="Calibri"/>
          <w:b w:val="0"/>
          <w:color w:val="2B2B2B"/>
          <w:sz w:val="22"/>
        </w:rPr>
        <w:t xml:space="preserve"> — </w:t>
      </w:r>
      <w:r>
        <w:rPr>
          <w:rFonts w:ascii="Calibri" w:hAnsi="Calibri"/>
          <w:b/>
          <w:color w:val="2B2B2B"/>
          <w:sz w:val="22"/>
        </w:rPr>
        <w:t>23 diapositivas</w:t>
      </w:r>
      <w:r>
        <w:rPr>
          <w:rFonts w:ascii="Calibri" w:hAnsi="Calibri"/>
          <w:b w:val="0"/>
          <w:color w:val="2B2B2B"/>
          <w:sz w:val="22"/>
        </w:rPr>
        <w:t xml:space="preserve"> (presentación).</w:t>
      </w:r>
    </w:p>
    <w:p>
      <w:pPr>
        <w:pStyle w:val="ListBullet"/>
      </w:pPr>
      <w:r>
        <w:rPr>
          <w:rFonts w:ascii="Calibri" w:hAnsi="Calibri"/>
          <w:b w:val="0"/>
          <w:color w:val="2B2B2B"/>
          <w:sz w:val="22"/>
        </w:rPr>
        <w:t xml:space="preserve">Ruta: </w:t>
      </w:r>
      <w:r>
        <w:rPr>
          <w:rFonts w:ascii="Consolas" w:hAnsi="Consolas"/>
          <w:color w:val="111111"/>
          <w:sz w:val="21"/>
        </w:rPr>
        <w:t>G:\.shortcut-targets-by-id\17gSfmud5pWNib9sS2Y2KadGlqkJPJEZ1\26ET2-G-009\</w:t>
      </w:r>
    </w:p>
    <w:p>
      <w:pPr>
        <w:ind w:left="432"/>
        <w:shd w:val="clear" w:fill="E8F5EC"/>
      </w:pPr>
      <w:r>
        <w:rPr>
          <w:rFonts w:ascii="Calibri" w:hAnsi="Calibri"/>
          <w:b/>
          <w:i/>
          <w:color w:val="2B2B2B"/>
          <w:sz w:val="21"/>
        </w:rPr>
        <w:t>Convención de citas.</w:t>
      </w:r>
      <w:r>
        <w:rPr>
          <w:rFonts w:ascii="Calibri" w:hAnsi="Calibri"/>
          <w:b w:val="0"/>
          <w:i/>
          <w:color w:val="2B2B2B"/>
          <w:sz w:val="21"/>
        </w:rPr>
        <w:t xml:space="preserve"> </w:t>
      </w:r>
      <w:r>
        <w:rPr>
          <w:rFonts w:ascii="Consolas" w:hAnsi="Consolas"/>
          <w:i/>
          <w:color w:val="111111"/>
          <w:sz w:val="20"/>
        </w:rPr>
        <w:t>(p. N)</w:t>
      </w:r>
      <w:r>
        <w:rPr>
          <w:rFonts w:ascii="Calibri" w:hAnsi="Calibri"/>
          <w:b w:val="0"/>
          <w:i/>
          <w:color w:val="2B2B2B"/>
          <w:sz w:val="21"/>
        </w:rPr>
        <w:t xml:space="preserve"> = página del trabajo de grado de 126 páginas. </w:t>
      </w:r>
      <w:r>
        <w:rPr>
          <w:rFonts w:ascii="Consolas" w:hAnsi="Consolas"/>
          <w:i/>
          <w:color w:val="111111"/>
          <w:sz w:val="20"/>
        </w:rPr>
        <w:t>(dp. N)</w:t>
      </w:r>
      <w:r>
        <w:rPr>
          <w:rFonts w:ascii="Calibri" w:hAnsi="Calibri"/>
          <w:b w:val="0"/>
          <w:i/>
          <w:color w:val="2B2B2B"/>
          <w:sz w:val="21"/>
        </w:rPr>
        <w:t xml:space="preserve"> = diapositiva de la presentación. Cuando algo no está, la ficha dice dónde se buscó y con qué término. Nada de lo que aquí se afirma sobre el proyecto viene de mi cabeza.</w:t>
      </w:r>
    </w:p>
    <w:p>
      <w:pPr>
        <w:spacing w:before="200" w:after="60"/>
      </w:pPr>
      <w:r>
        <w:rPr>
          <w:rFonts w:ascii="Calibri" w:hAnsi="Calibri"/>
          <w:b/>
          <w:color w:val="007433"/>
          <w:sz w:val="32"/>
        </w:rPr>
        <w:t>1. Resumen para leer en 5 minutos</w:t>
      </w:r>
    </w:p>
    <w:p>
      <w:r>
        <w:rPr>
          <w:rFonts w:ascii="Calibri" w:hAnsi="Calibri"/>
          <w:b/>
          <w:color w:val="2B2B2B"/>
          <w:sz w:val="22"/>
        </w:rPr>
        <w:t>Problema.</w:t>
      </w:r>
      <w:r>
        <w:rPr>
          <w:rFonts w:ascii="Calibri" w:hAnsi="Calibri"/>
          <w:b w:val="0"/>
          <w:color w:val="2B2B2B"/>
          <w:sz w:val="22"/>
        </w:rPr>
        <w:t xml:space="preserve"> Los procesos de talento humano se tramitan con «sistemas fragmentados, procedimientos manuales o plataformas poco flexibles», con «falta de trazabilidad» y tiempos de respuesta prolongados (p. 19). Los otros dos rasgos del problema están en otras páginas y conviene no atribuirlos a las pp. 18-20, donde no aparece ni «reproceso» ni «canales»: los </w:t>
      </w:r>
      <w:r>
        <w:rPr>
          <w:rFonts w:ascii="Calibri" w:hAnsi="Calibri"/>
          <w:b/>
          <w:color w:val="2B2B2B"/>
          <w:sz w:val="22"/>
        </w:rPr>
        <w:t>múltiples canales</w:t>
      </w:r>
      <w:r>
        <w:rPr>
          <w:rFonts w:ascii="Calibri" w:hAnsi="Calibri"/>
          <w:b w:val="0"/>
          <w:color w:val="2B2B2B"/>
          <w:sz w:val="22"/>
        </w:rPr>
        <w:t xml:space="preserve"> y los </w:t>
      </w:r>
      <w:r>
        <w:rPr>
          <w:rFonts w:ascii="Calibri" w:hAnsi="Calibri"/>
          <w:b/>
          <w:color w:val="2B2B2B"/>
          <w:sz w:val="22"/>
        </w:rPr>
        <w:t>reprocesos</w:t>
      </w:r>
      <w:r>
        <w:rPr>
          <w:rFonts w:ascii="Calibri" w:hAnsi="Calibri"/>
          <w:b w:val="0"/>
          <w:color w:val="2B2B2B"/>
          <w:sz w:val="22"/>
        </w:rPr>
        <w:t xml:space="preserve"> vienen del Resumen (p. 9) y de las entrevistas (pp. 70, 74). La empresa es del sector retail de Bogotá Sur con </w:t>
      </w:r>
      <w:r>
        <w:rPr>
          <w:rFonts w:ascii="Calibri" w:hAnsi="Calibri"/>
          <w:b/>
          <w:color w:val="2B2B2B"/>
          <w:sz w:val="22"/>
        </w:rPr>
        <w:t>más de 1.600 colaboradores</w:t>
      </w:r>
      <w:r>
        <w:rPr>
          <w:rFonts w:ascii="Calibri" w:hAnsi="Calibri"/>
          <w:b w:val="0"/>
          <w:color w:val="2B2B2B"/>
          <w:sz w:val="22"/>
        </w:rPr>
        <w:t xml:space="preserve"> (pp. 45-46), y el documento afirma que los procesos operaban «en un 70 % de forma manual» (p. 45), </w:t>
      </w:r>
      <w:r>
        <w:rPr>
          <w:rFonts w:ascii="Calibri" w:hAnsi="Calibri"/>
          <w:b/>
          <w:color w:val="2B2B2B"/>
          <w:sz w:val="22"/>
        </w:rPr>
        <w:t>sin citar la fuente de ese porcentaje</w:t>
      </w:r>
      <w:r>
        <w:rPr>
          <w:rFonts w:ascii="Calibri" w:hAnsi="Calibri"/>
          <w:b w:val="0"/>
          <w:color w:val="2B2B2B"/>
          <w:sz w:val="22"/>
        </w:rPr>
        <w:t>.</w:t>
      </w:r>
    </w:p>
    <w:p>
      <w:r>
        <w:rPr>
          <w:rFonts w:ascii="Calibri" w:hAnsi="Calibri"/>
          <w:b/>
          <w:color w:val="2B2B2B"/>
          <w:sz w:val="22"/>
        </w:rPr>
        <w:t>Qué se propusieron.</w:t>
      </w:r>
      <w:r>
        <w:rPr>
          <w:rFonts w:ascii="Calibri" w:hAnsi="Calibri"/>
          <w:b w:val="0"/>
          <w:color w:val="2B2B2B"/>
          <w:sz w:val="22"/>
        </w:rPr>
        <w:t xml:space="preserve"> </w:t>
      </w:r>
      <w:r>
        <w:rPr>
          <w:rFonts w:ascii="Calibri" w:hAnsi="Calibri"/>
          <w:i/>
          <w:color w:val="2B2B2B"/>
          <w:sz w:val="22"/>
        </w:rPr>
        <w:t>Diseñar</w:t>
      </w:r>
      <w:r>
        <w:rPr>
          <w:rFonts w:ascii="Calibri" w:hAnsi="Calibri"/>
          <w:b w:val="0"/>
          <w:color w:val="2B2B2B"/>
          <w:sz w:val="22"/>
        </w:rPr>
        <w:t xml:space="preserve"> un ecosistema digital para RR. HH. mediante células ágiles, orientado a optimizar procesos internos, fortalecer la autogestión y mejorar la experiencia del colaborador (p. 22). Cuatro objetivos específicos: caracterizar los procesos optimizables, estructurar un modelo de células ágiles, definir la arquitectura funcional y proponer un tablero de indicadores (p. 22). Pregunta de investigación coherente con lo anterior (p. 21).</w:t>
      </w:r>
    </w:p>
    <w:p>
      <w:r>
        <w:rPr>
          <w:rFonts w:ascii="Calibri" w:hAnsi="Calibri"/>
          <w:b/>
          <w:color w:val="2B2B2B"/>
          <w:sz w:val="22"/>
        </w:rPr>
        <w:t>Cómo.</w:t>
      </w:r>
      <w:r>
        <w:rPr>
          <w:rFonts w:ascii="Calibri" w:hAnsi="Calibri"/>
          <w:b w:val="0"/>
          <w:color w:val="2B2B2B"/>
          <w:sz w:val="22"/>
        </w:rPr>
        <w:t xml:space="preserve"> Enfoque mixto secuencial explicativo CUANT→cual, paradigma pragmático (p. 44); alcance exploratorio-descriptivo y aplicado (p. 46). Encuesta a </w:t>
      </w:r>
      <w:r>
        <w:rPr>
          <w:rFonts w:ascii="Calibri" w:hAnsi="Calibri"/>
          <w:b/>
          <w:color w:val="2B2B2B"/>
          <w:sz w:val="22"/>
        </w:rPr>
        <w:t>150 colaboradores</w:t>
      </w:r>
      <w:r>
        <w:rPr>
          <w:rFonts w:ascii="Calibri" w:hAnsi="Calibri"/>
          <w:b w:val="0"/>
          <w:color w:val="2B2B2B"/>
          <w:sz w:val="22"/>
        </w:rPr>
        <w:t xml:space="preserve"> con «muestreo estratificado probabilístico» por nivel jerárquico y antigüedad (p. 45); el instrumento es de </w:t>
      </w:r>
      <w:r>
        <w:rPr>
          <w:rFonts w:ascii="Calibri" w:hAnsi="Calibri"/>
          <w:b/>
          <w:color w:val="2B2B2B"/>
          <w:sz w:val="22"/>
        </w:rPr>
        <w:t>22 preguntas en cuatro dimensiones</w:t>
      </w:r>
      <w:r>
        <w:rPr>
          <w:rFonts w:ascii="Calibri" w:hAnsi="Calibri"/>
          <w:b w:val="0"/>
          <w:color w:val="2B2B2B"/>
          <w:sz w:val="22"/>
        </w:rPr>
        <w:t xml:space="preserve"> (p. 51), con reparto 6-6-5-5 y escala Likert de cinco puntos (p. 52) más tres preguntas abiertas, y la matriz de operacionalización está en la Tabla 1, con los ítems 1-6, 7-12, 13-17 y 18-22 (p. 53) —nada de esto está en la p. 45—. Además </w:t>
      </w:r>
      <w:r>
        <w:rPr>
          <w:rFonts w:ascii="Calibri" w:hAnsi="Calibri"/>
          <w:b/>
          <w:color w:val="2B2B2B"/>
          <w:sz w:val="22"/>
        </w:rPr>
        <w:t>25 entrevistas semiestructuradas</w:t>
      </w:r>
      <w:r>
        <w:rPr>
          <w:rFonts w:ascii="Calibri" w:hAnsi="Calibri"/>
          <w:b w:val="0"/>
          <w:color w:val="2B2B2B"/>
          <w:sz w:val="22"/>
        </w:rPr>
        <w:t xml:space="preserve"> (muestreo intencional tipo </w:t>
      </w:r>
      <w:r>
        <w:rPr>
          <w:rFonts w:ascii="Calibri" w:hAnsi="Calibri"/>
          <w:i/>
          <w:color w:val="2B2B2B"/>
          <w:sz w:val="22"/>
        </w:rPr>
        <w:t>snowball</w:t>
      </w:r>
      <w:r>
        <w:rPr>
          <w:rFonts w:ascii="Calibri" w:hAnsi="Calibri"/>
          <w:b w:val="0"/>
          <w:color w:val="2B2B2B"/>
          <w:sz w:val="22"/>
        </w:rPr>
        <w:t>, p. 45; se repite en p. 49), más revisión documental y observación (pp. 56-58). Instrumentos validados por juicio de expertos (p. 54; Anexo 5, pp. 125-126). Tres fases en seis meses con hitos mensuales: fase 1 «noviembre-diciembre 2025», fase 2 «mayo-junio 2026», fase 3 «julio-agosto 2026» (pp. 47-48).</w:t>
      </w:r>
    </w:p>
    <w:p>
      <w:r>
        <w:rPr>
          <w:rFonts w:ascii="Calibri" w:hAnsi="Calibri"/>
          <w:b/>
          <w:color w:val="2B2B2B"/>
          <w:sz w:val="22"/>
        </w:rPr>
        <w:t>Qué obtuvieron.</w:t>
      </w:r>
      <w:r>
        <w:rPr>
          <w:rFonts w:ascii="Calibri" w:hAnsi="Calibri"/>
          <w:b w:val="0"/>
          <w:color w:val="2B2B2B"/>
          <w:sz w:val="22"/>
        </w:rPr>
        <w:t xml:space="preserve"> Eficiencia de procesos: promedio 3,2/5, con gestión documental 3,05 y tiempos de respuesta 3,07 como los más bajos (pp. 59-60). Acceso rápido a la información 2,85 y adecuación de las herramientas 2,96, marcadas «oportunidad crítica» (pp. 61-62). Alta aceptación del cambio: continuar la transformación digital 4,13 (p. 62) y «las metodologías ágiles pueden mejorar RR. HH.» 4,27 (p. 67). En entrevistas, </w:t>
      </w:r>
      <w:r>
        <w:rPr>
          <w:rFonts w:ascii="Calibri" w:hAnsi="Calibri"/>
          <w:i/>
          <w:color w:val="2B2B2B"/>
          <w:sz w:val="22"/>
        </w:rPr>
        <w:t>seguimiento de vinculaciones</w:t>
      </w:r>
      <w:r>
        <w:rPr>
          <w:rFonts w:ascii="Calibri" w:hAnsi="Calibri"/>
          <w:b w:val="0"/>
          <w:color w:val="2B2B2B"/>
          <w:sz w:val="22"/>
        </w:rPr>
        <w:t xml:space="preserve"> aparece en el 52 % y </w:t>
      </w:r>
      <w:r>
        <w:rPr>
          <w:rFonts w:ascii="Calibri" w:hAnsi="Calibri"/>
          <w:i/>
          <w:color w:val="2B2B2B"/>
          <w:sz w:val="22"/>
        </w:rPr>
        <w:t>gestión documental</w:t>
      </w:r>
      <w:r>
        <w:rPr>
          <w:rFonts w:ascii="Calibri" w:hAnsi="Calibri"/>
          <w:b w:val="0"/>
          <w:color w:val="2B2B2B"/>
          <w:sz w:val="22"/>
        </w:rPr>
        <w:t xml:space="preserve"> en el 36 % (p. 74). Con una matriz de priorización se eligió vinculaciones como eje (pp. 75-76), y se levantaron los procesos AS IS (p. 79) y TO BE (p. 80).</w:t>
      </w:r>
    </w:p>
    <w:p>
      <w:r>
        <w:rPr>
          <w:rFonts w:ascii="Calibri" w:hAnsi="Calibri"/>
          <w:b/>
          <w:color w:val="2B2B2B"/>
          <w:sz w:val="22"/>
        </w:rPr>
        <w:t>Producto entregado.</w:t>
      </w:r>
      <w:r>
        <w:rPr>
          <w:rFonts w:ascii="Calibri" w:hAnsi="Calibri"/>
          <w:b w:val="0"/>
          <w:color w:val="2B2B2B"/>
          <w:sz w:val="22"/>
        </w:rPr>
        <w:t xml:space="preserve"> Arquitectura funcional de seis módulos sobre Power Apps + SharePoint (Figura 9, p. 81); modelo de células ágiles con roles, sprint de dos semanas, backlog de siete historias, cuatro ceremonias y criterios de aceptación y de evaluación por célula (Figura 10 y título de la Tabla 8 en la p. 82, desarrollo en pp. 83-88); </w:t>
      </w:r>
      <w:r>
        <w:rPr>
          <w:rFonts w:ascii="Calibri" w:hAnsi="Calibri"/>
          <w:b/>
          <w:color w:val="2B2B2B"/>
          <w:sz w:val="22"/>
        </w:rPr>
        <w:t>cinco pantallas bajo cuatro números de figura</w:t>
      </w:r>
      <w:r>
        <w:rPr>
          <w:rFonts w:ascii="Calibri" w:hAnsi="Calibri"/>
          <w:b w:val="0"/>
          <w:color w:val="2B2B2B"/>
          <w:sz w:val="22"/>
        </w:rPr>
        <w:t xml:space="preserve"> —dos imágenes superpuestas en la p. 89 (Figuras 11 y 12), una en la p. 90 (Figura 13) y </w:t>
      </w:r>
      <w:r>
        <w:rPr>
          <w:rFonts w:ascii="Calibri" w:hAnsi="Calibri"/>
          <w:b/>
          <w:color w:val="2B2B2B"/>
          <w:sz w:val="22"/>
        </w:rPr>
        <w:t>dos en la p. 91, ambas rotuladas «Figura 14»</w:t>
      </w:r>
      <w:r>
        <w:rPr>
          <w:rFonts w:ascii="Calibri" w:hAnsi="Calibri"/>
          <w:b w:val="0"/>
          <w:color w:val="2B2B2B"/>
          <w:sz w:val="22"/>
        </w:rPr>
        <w:t>, una de tarjetas de KPI y otra de gráficas—; y dieciséis indicadores caracterizados con nueve atributos, que la p. 92 enuncia y la Tabla 14 despliega (pp. 93-97).</w:t>
      </w:r>
    </w:p>
    <w:p>
      <w:r>
        <w:rPr>
          <w:rFonts w:ascii="Calibri" w:hAnsi="Calibri"/>
          <w:b/>
          <w:color w:val="2B2B2B"/>
          <w:sz w:val="22"/>
        </w:rPr>
        <w:t>Techo del trabajo, declarado por el propio documento.</w:t>
      </w:r>
      <w:r>
        <w:rPr>
          <w:rFonts w:ascii="Calibri" w:hAnsi="Calibri"/>
          <w:b w:val="0"/>
          <w:color w:val="2B2B2B"/>
          <w:sz w:val="22"/>
        </w:rPr>
        <w:t xml:space="preserve"> No hubo implementación ni piloto: los datos del tablero «tienen un propósito ilustrativo y no provienen de una implementación operativa» (p. 97) y los efectos «deberán verificarse mediante una implementación piloto» (pp. 78, 104). La presentación lo rotula igual: «Con datos simulados» (dp. 19).</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El verbo del objetivo general es </w:t>
      </w:r>
      <w:r>
        <w:rPr>
          <w:rFonts w:ascii="Calibri" w:hAnsi="Calibri"/>
          <w:b/>
          <w:color w:val="2B2B2B"/>
          <w:sz w:val="22"/>
        </w:rPr>
        <w:t>«Diseñar»</w:t>
      </w:r>
      <w:r>
        <w:rPr>
          <w:rFonts w:ascii="Calibri" w:hAnsi="Calibri"/>
          <w:b w:val="0"/>
          <w:color w:val="2B2B2B"/>
          <w:sz w:val="22"/>
        </w:rPr>
        <w:t xml:space="preserve"> (p. 22) y lo entregado es un diseño (pp. 103-104): </w:t>
      </w:r>
      <w:r>
        <w:rPr>
          <w:rFonts w:ascii="Calibri" w:hAnsi="Calibri"/>
          <w:b/>
          <w:color w:val="2B2B2B"/>
          <w:sz w:val="22"/>
        </w:rPr>
        <w:t>el techo declarado y el techo alcanzado coinciden</w:t>
      </w:r>
      <w:r>
        <w:rPr>
          <w:rFonts w:ascii="Calibri" w:hAnsi="Calibri"/>
          <w:b w:val="0"/>
          <w:color w:val="2B2B2B"/>
          <w:sz w:val="22"/>
        </w:rPr>
        <w:t xml:space="preserve">, que es lo primero que hay que reconocerle a este trabajo. El título añade «para la optimización de procesos» y el objetivo añade «fortalecer la autogestión y mejorar la experiencia del colaborador»: son </w:t>
      </w:r>
      <w:r>
        <w:rPr>
          <w:rFonts w:ascii="Calibri" w:hAnsi="Calibri"/>
          <w:i/>
          <w:color w:val="2B2B2B"/>
          <w:sz w:val="22"/>
        </w:rPr>
        <w:t>propósitos</w:t>
      </w:r>
      <w:r>
        <w:rPr>
          <w:rFonts w:ascii="Calibri" w:hAnsi="Calibri"/>
          <w:b w:val="0"/>
          <w:color w:val="2B2B2B"/>
          <w:sz w:val="22"/>
        </w:rPr>
        <w:t>, no resultados medidos, y el documento lo admite (pp. 78, 104).</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1. Caracterizar</w:t>
            </w:r>
            <w:r>
              <w:rPr>
                <w:rFonts w:ascii="Calibri" w:hAnsi="Calibri"/>
                <w:b w:val="0"/>
                <w:color w:val="2B2B2B"/>
                <w:sz w:val="20"/>
              </w:rPr>
              <w:t xml:space="preserve"> los procesos de RR. HH. susceptibles de optimización, con énfasis en seguimiento de vinculaciones y gestión colaborativa</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Encuesta por dimensiones (pp. 59-67); 25 entrevistas categorizadas (pp. 69-74); matriz de priorización (pp. 75-76); proceso AS IS (p. 79)</w:t>
            </w:r>
          </w:p>
        </w:tc>
        <w:tc>
          <w:tcPr>
            <w:tcW w:type="dxa" w:w="2448"/>
          </w:tcPr>
          <w:p>
            <w:r/>
            <w:r>
              <w:rPr>
                <w:rFonts w:ascii="Calibri" w:hAnsi="Calibri"/>
                <w:b w:val="0"/>
                <w:color w:val="2B2B2B"/>
                <w:sz w:val="20"/>
              </w:rPr>
              <w:t xml:space="preserve">Es un diagnóstico </w:t>
            </w:r>
            <w:r>
              <w:rPr>
                <w:rFonts w:ascii="Calibri" w:hAnsi="Calibri"/>
                <w:b/>
                <w:color w:val="2B2B2B"/>
                <w:sz w:val="20"/>
              </w:rPr>
              <w:t>de percepción</w:t>
            </w:r>
            <w:r>
              <w:rPr>
                <w:rFonts w:ascii="Calibri" w:hAnsi="Calibri"/>
                <w:b w:val="0"/>
                <w:color w:val="2B2B2B"/>
                <w:sz w:val="20"/>
              </w:rPr>
              <w:t>. No hay ni un valor duro de línea base (tiempo real de vinculación, número de reprocesos), y el «70 % manual» (p. 45) y la «rotación superior al 30 %» (p. 24) van sin fuente</w:t>
            </w:r>
          </w:p>
        </w:tc>
      </w:tr>
      <w:tr>
        <w:tc>
          <w:tcPr>
            <w:tcW w:type="dxa" w:w="2448"/>
            <w:shd w:val="clear" w:fill="F5F7F5"/>
            <w:shd w:val="clear" w:fill="F5F7F5"/>
          </w:tcPr>
          <w:p>
            <w:r/>
            <w:r>
              <w:rPr>
                <w:rFonts w:ascii="Calibri" w:hAnsi="Calibri"/>
                <w:b/>
                <w:color w:val="2B2B2B"/>
                <w:sz w:val="20"/>
              </w:rPr>
              <w:t>2. Estructurar</w:t>
            </w:r>
            <w:r>
              <w:rPr>
                <w:rFonts w:ascii="Calibri" w:hAnsi="Calibri"/>
                <w:b w:val="0"/>
                <w:color w:val="2B2B2B"/>
                <w:sz w:val="20"/>
              </w:rPr>
              <w:t xml:space="preserve"> el modelo de células ágiles (roles, ciclos, articulación)</w:t>
            </w:r>
          </w:p>
        </w:tc>
        <w:tc>
          <w:tcPr>
            <w:tcW w:type="dxa" w:w="2448"/>
            <w:shd w:val="clear" w:fill="F5F7F5"/>
            <w:shd w:val="clear" w:fill="F5F7F5"/>
          </w:tcPr>
          <w:p>
            <w:r/>
            <w:r>
              <w:rPr>
                <w:rFonts w:ascii="Calibri" w:hAnsi="Calibri"/>
                <w:b/>
                <w:color w:val="2B2B2B"/>
                <w:sz w:val="20"/>
              </w:rPr>
              <w:t>Sí, en el nivel de diseño</w:t>
            </w:r>
          </w:p>
        </w:tc>
        <w:tc>
          <w:tcPr>
            <w:tcW w:type="dxa" w:w="2448"/>
            <w:shd w:val="clear" w:fill="F5F7F5"/>
            <w:shd w:val="clear" w:fill="F5F7F5"/>
          </w:tcPr>
          <w:p>
            <w:r/>
            <w:r>
              <w:rPr>
                <w:rFonts w:ascii="Calibri" w:hAnsi="Calibri"/>
                <w:b w:val="0"/>
                <w:color w:val="2B2B2B"/>
                <w:sz w:val="20"/>
              </w:rPr>
              <w:t>Roles (p. 83), sprint de dos semanas (p. 84), backlog de siete historias (pp. 84-85), ceremonias (p. 85), criterios de aceptación (p. 86) y de evaluación por célula (p. 87)</w:t>
            </w:r>
          </w:p>
        </w:tc>
        <w:tc>
          <w:tcPr>
            <w:tcW w:type="dxa" w:w="2448"/>
            <w:shd w:val="clear" w:fill="F5F7F5"/>
            <w:shd w:val="clear" w:fill="F5F7F5"/>
          </w:tcPr>
          <w:p>
            <w:r/>
            <w:r>
              <w:rPr>
                <w:rFonts w:ascii="Calibri" w:hAnsi="Calibri"/>
                <w:b/>
                <w:color w:val="2B2B2B"/>
                <w:sz w:val="20"/>
              </w:rPr>
              <w:t>Ambigüedad de fondo:</w:t>
            </w:r>
            <w:r>
              <w:rPr>
                <w:rFonts w:ascii="Calibri" w:hAnsi="Calibri"/>
                <w:b w:val="0"/>
                <w:color w:val="2B2B2B"/>
                <w:sz w:val="20"/>
              </w:rPr>
              <w:t xml:space="preserve"> la p. 48 lista entre las </w:t>
            </w:r>
            <w:r>
              <w:rPr>
                <w:rFonts w:ascii="Calibri" w:hAnsi="Calibri"/>
                <w:b/>
                <w:color w:val="2B2B2B"/>
                <w:sz w:val="20"/>
              </w:rPr>
              <w:t>actividades de la fase 2</w:t>
            </w:r>
            <w:r>
              <w:rPr>
                <w:rFonts w:ascii="Calibri" w:hAnsi="Calibri"/>
                <w:b w:val="0"/>
                <w:color w:val="2B2B2B"/>
                <w:sz w:val="20"/>
              </w:rPr>
              <w:t xml:space="preserve"> —fechada «Meses 3–4: mayo-junio 2026», ya transcurrida (p. 47)— la «Conformación de cuatro células ágiles (5–7 miembros… sprints quincenales)», mientras el cuerpo de la propuesta remite el modelo a una implementación futura en cuatro páginas: «guía para su implementación futura» (p. 82), «guía para la evaluación de las células en una futura implementación» (p. 88), «durante una futura implementación» (pp. 92 y 104). </w:t>
            </w:r>
            <w:r>
              <w:rPr>
                <w:rFonts w:ascii="Calibri" w:hAnsi="Calibri"/>
                <w:b/>
                <w:color w:val="2B2B2B"/>
                <w:sz w:val="20"/>
              </w:rPr>
              <w:t>Corrección de cita:</w:t>
            </w:r>
            <w:r>
              <w:rPr>
                <w:rFonts w:ascii="Calibri" w:hAnsi="Calibri"/>
                <w:b w:val="0"/>
                <w:color w:val="2B2B2B"/>
                <w:sz w:val="20"/>
              </w:rPr>
              <w:t xml:space="preserve"> la p. 87 no dice «eventual implementación» —la palabra «eventual» tiene cero apariciones en las 126 páginas—; no citarla. El documento </w:t>
            </w:r>
            <w:r>
              <w:rPr>
                <w:rFonts w:ascii="Calibri" w:hAnsi="Calibri"/>
                <w:b/>
                <w:color w:val="2B2B2B"/>
                <w:sz w:val="20"/>
              </w:rPr>
              <w:t>no declara</w:t>
            </w:r>
            <w:r>
              <w:rPr>
                <w:rFonts w:ascii="Calibri" w:hAnsi="Calibri"/>
                <w:b w:val="0"/>
                <w:color w:val="2B2B2B"/>
                <w:sz w:val="20"/>
              </w:rPr>
              <w:t xml:space="preserve"> si esas células llegaron a conformarse: hay que preguntarlo. Y el modelo compromete cuatro «especialistas en herramientas low-code», uno por célula (Tabla 8, p. 83; Figura 10, p. 82)</w:t>
            </w:r>
          </w:p>
        </w:tc>
      </w:tr>
      <w:tr>
        <w:tc>
          <w:tcPr>
            <w:tcW w:type="dxa" w:w="2448"/>
          </w:tcPr>
          <w:p>
            <w:r/>
            <w:r>
              <w:rPr>
                <w:rFonts w:ascii="Calibri" w:hAnsi="Calibri"/>
                <w:b/>
                <w:color w:val="2B2B2B"/>
                <w:sz w:val="20"/>
              </w:rPr>
              <w:t>3. Definir</w:t>
            </w:r>
            <w:r>
              <w:rPr>
                <w:rFonts w:ascii="Calibri" w:hAnsi="Calibri"/>
                <w:b w:val="0"/>
                <w:color w:val="2B2B2B"/>
                <w:sz w:val="20"/>
              </w:rPr>
              <w:t xml:space="preserve"> la arquitectura funcional (vinculación, administración de personal, calidad de vida)</w:t>
            </w:r>
          </w:p>
        </w:tc>
        <w:tc>
          <w:tcPr>
            <w:tcW w:type="dxa" w:w="2448"/>
          </w:tcPr>
          <w:p>
            <w:r/>
            <w:r>
              <w:rPr>
                <w:rFonts w:ascii="Calibri" w:hAnsi="Calibri"/>
                <w:b/>
                <w:color w:val="2B2B2B"/>
                <w:sz w:val="20"/>
              </w:rPr>
              <w:t>Sí, parcialmente</w:t>
            </w:r>
          </w:p>
        </w:tc>
        <w:tc>
          <w:tcPr>
            <w:tcW w:type="dxa" w:w="2448"/>
          </w:tcPr>
          <w:p>
            <w:r/>
            <w:r>
              <w:rPr>
                <w:rFonts w:ascii="Calibri" w:hAnsi="Calibri"/>
                <w:b w:val="0"/>
                <w:color w:val="2B2B2B"/>
                <w:sz w:val="20"/>
              </w:rPr>
              <w:t>Arquitectura de seis módulos (p. 81); TO BE (p. 80); interfaces principal, vinculaciones y seguimiento (pp. 89-90)</w:t>
            </w:r>
          </w:p>
        </w:tc>
        <w:tc>
          <w:tcPr>
            <w:tcW w:type="dxa" w:w="2448"/>
          </w:tcPr>
          <w:p>
            <w:r/>
            <w:r>
              <w:rPr>
                <w:rFonts w:ascii="Calibri" w:hAnsi="Calibri"/>
                <w:b w:val="0"/>
                <w:color w:val="2B2B2B"/>
                <w:sz w:val="20"/>
              </w:rPr>
              <w:t xml:space="preserve">Novedades de nómina, </w:t>
            </w:r>
            <w:r>
              <w:rPr>
                <w:rFonts w:ascii="Calibri" w:hAnsi="Calibri"/>
                <w:b/>
                <w:color w:val="2B2B2B"/>
                <w:sz w:val="20"/>
              </w:rPr>
              <w:t>portal de autogestión</w:t>
            </w:r>
            <w:r>
              <w:rPr>
                <w:rFonts w:ascii="Calibri" w:hAnsi="Calibri"/>
                <w:b w:val="0"/>
                <w:color w:val="2B2B2B"/>
                <w:sz w:val="20"/>
              </w:rPr>
              <w:t xml:space="preserve"> —que las pp. 81 y 89 llaman «portal del colaborador»— y calidad de vida son cajas de la Figura 9 (p. 81) y accesos de la interfaz principal (Figura 11, p. 89). </w:t>
            </w:r>
            <w:r>
              <w:rPr>
                <w:rFonts w:ascii="Calibri" w:hAnsi="Calibri"/>
                <w:b/>
                <w:color w:val="2B2B2B"/>
                <w:sz w:val="20"/>
              </w:rPr>
              <w:t>Corrección de cita:</w:t>
            </w:r>
            <w:r>
              <w:rPr>
                <w:rFonts w:ascii="Calibri" w:hAnsi="Calibri"/>
                <w:b w:val="0"/>
                <w:color w:val="2B2B2B"/>
                <w:sz w:val="20"/>
              </w:rPr>
              <w:t xml:space="preserve"> los códigos QR </w:t>
            </w:r>
            <w:r>
              <w:rPr>
                <w:rFonts w:ascii="Calibri" w:hAnsi="Calibri"/>
                <w:b/>
                <w:color w:val="2B2B2B"/>
                <w:sz w:val="20"/>
              </w:rPr>
              <w:t>no</w:t>
            </w:r>
            <w:r>
              <w:rPr>
                <w:rFonts w:ascii="Calibri" w:hAnsi="Calibri"/>
                <w:b w:val="0"/>
                <w:color w:val="2B2B2B"/>
                <w:sz w:val="20"/>
              </w:rPr>
              <w:t xml:space="preserve"> están entre los accesos de la Figura 11, que ofrece exactamente seis —Vinculaciones, Administración del personal, Calidad de vida, portal del Colaborador, novedades de nomina y «Dasbohard»—; el QR solo existe como caja de las Figuras 8 y 9 (pp. 80-81) y como indicador en la p. 95. Nómina, calidad de vida y QR sí tienen indicadores caracterizados en la Tabla 14 (pp. 94-95); lo que </w:t>
            </w:r>
            <w:r>
              <w:rPr>
                <w:rFonts w:ascii="Calibri" w:hAnsi="Calibri"/>
                <w:b/>
                <w:color w:val="2B2B2B"/>
                <w:sz w:val="20"/>
              </w:rPr>
              <w:t>no</w:t>
            </w:r>
            <w:r>
              <w:rPr>
                <w:rFonts w:ascii="Calibri" w:hAnsi="Calibri"/>
                <w:b w:val="0"/>
                <w:color w:val="2B2B2B"/>
                <w:sz w:val="20"/>
              </w:rPr>
              <w:t xml:space="preserve"> existe es una pantalla propia ni una especificación funcional de cada módulo: las pantallas de las pp. 89-91 solo desarrollan vinculaciones y el tablero. Calidad de vida queda además en prioridad «Baja» en el backlog (p. 85). No hay modelo de datos ni listas de SharePoint documentadas</w:t>
            </w:r>
          </w:p>
        </w:tc>
      </w:tr>
      <w:tr>
        <w:tc>
          <w:tcPr>
            <w:tcW w:type="dxa" w:w="2448"/>
            <w:shd w:val="clear" w:fill="F5F7F5"/>
            <w:shd w:val="clear" w:fill="F5F7F5"/>
          </w:tcPr>
          <w:p>
            <w:r/>
            <w:r>
              <w:rPr>
                <w:rFonts w:ascii="Calibri" w:hAnsi="Calibri"/>
                <w:b/>
                <w:color w:val="2B2B2B"/>
                <w:sz w:val="20"/>
              </w:rPr>
              <w:t>4. Proponer</w:t>
            </w:r>
            <w:r>
              <w:rPr>
                <w:rFonts w:ascii="Calibri" w:hAnsi="Calibri"/>
                <w:b w:val="0"/>
                <w:color w:val="2B2B2B"/>
                <w:sz w:val="20"/>
              </w:rPr>
              <w:t xml:space="preserve"> el tablero conceptual de indicadores</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Figura 14 (p. 91) y Tabla 14 con dieciséis indicadores (pp. 93-97)</w:t>
            </w:r>
          </w:p>
        </w:tc>
        <w:tc>
          <w:tcPr>
            <w:tcW w:type="dxa" w:w="2448"/>
            <w:shd w:val="clear" w:fill="F5F7F5"/>
            <w:shd w:val="clear" w:fill="F5F7F5"/>
          </w:tcPr>
          <w:p>
            <w:r/>
            <w:r>
              <w:rPr>
                <w:rFonts w:ascii="Calibri" w:hAnsi="Calibri"/>
                <w:b w:val="0"/>
                <w:color w:val="2B2B2B"/>
                <w:sz w:val="20"/>
              </w:rPr>
              <w:t xml:space="preserve">La columna «Línea base» dice </w:t>
            </w:r>
            <w:r>
              <w:rPr>
                <w:rFonts w:ascii="Calibri" w:hAnsi="Calibri"/>
                <w:b/>
                <w:color w:val="2B2B2B"/>
                <w:sz w:val="20"/>
              </w:rPr>
              <w:t>«Diagnóstico inicial» en los dieciséis indicadores</w:t>
            </w:r>
            <w:r>
              <w:rPr>
                <w:rFonts w:ascii="Calibri" w:hAnsi="Calibri"/>
                <w:b w:val="0"/>
                <w:color w:val="2B2B2B"/>
                <w:sz w:val="20"/>
              </w:rPr>
              <w:t xml:space="preserve"> (pp. 93-97), pero el diagnóstico no produjo ningún valor numérico de esos indicadores (pp. 59-74). Un tablero sin línea base no puede demostrar mejora</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No sobreprometen.</w:t>
      </w:r>
      <w:r>
        <w:rPr>
          <w:rFonts w:ascii="Calibri" w:hAnsi="Calibri"/>
          <w:b w:val="0"/>
          <w:color w:val="2B2B2B"/>
          <w:sz w:val="22"/>
        </w:rPr>
        <w:t xml:space="preserve"> El documento distingue explícitamente diseño de implementación en </w:t>
      </w:r>
      <w:r>
        <w:rPr>
          <w:rFonts w:ascii="Calibri" w:hAnsi="Calibri"/>
          <w:b/>
          <w:color w:val="2B2B2B"/>
          <w:sz w:val="22"/>
        </w:rPr>
        <w:t>seis páginas</w:t>
      </w:r>
      <w:r>
        <w:rPr>
          <w:rFonts w:ascii="Calibri" w:hAnsi="Calibri"/>
          <w:b w:val="0"/>
          <w:color w:val="2B2B2B"/>
          <w:sz w:val="22"/>
        </w:rPr>
        <w:t>, no en tres: remite a una «implementación piloto» en las pp. 78, 97 y 104, y a una «futura implementación» en las pp. 82, 88, 92 y 104. La presentación lo repite (dp. 19-20). En un periodo donde varios grupos hablan de «resultados» sin haber medido nada, esto es una virtud y hay que decirlo en la sala.</w:t>
      </w:r>
    </w:p>
    <w:p>
      <w:pPr>
        <w:pStyle w:val="ListNumber"/>
      </w:pPr>
      <w:r>
        <w:rPr>
          <w:rFonts w:ascii="Calibri" w:hAnsi="Calibri"/>
          <w:b/>
          <w:color w:val="2B2B2B"/>
          <w:sz w:val="22"/>
        </w:rPr>
        <w:t>Los cuatro objetivos específicos tienen producto localizable por página</w:t>
      </w:r>
      <w:r>
        <w:rPr>
          <w:rFonts w:ascii="Calibri" w:hAnsi="Calibri"/>
          <w:b w:val="0"/>
          <w:color w:val="2B2B2B"/>
          <w:sz w:val="22"/>
        </w:rPr>
        <w:t xml:space="preserve"> (pp. 75-76, 83-88, 81 y 89-90, 93-97). No hay objetivo huérfano ni un «evaluar» final sin ejecutar.</w:t>
      </w:r>
    </w:p>
    <w:p>
      <w:pPr>
        <w:pStyle w:val="ListNumber"/>
      </w:pPr>
      <w:r>
        <w:rPr>
          <w:rFonts w:ascii="Calibri" w:hAnsi="Calibri"/>
          <w:b/>
          <w:color w:val="2B2B2B"/>
          <w:sz w:val="22"/>
        </w:rPr>
        <w:t>Trabajo de campo real y triangulado:</w:t>
      </w:r>
      <w:r>
        <w:rPr>
          <w:rFonts w:ascii="Calibri" w:hAnsi="Calibri"/>
          <w:b w:val="0"/>
          <w:color w:val="2B2B2B"/>
          <w:sz w:val="22"/>
        </w:rPr>
        <w:t xml:space="preserve"> 150 encuestas + 25 entrevistas + revisión documental + observación, con el contraste entre lo cuantitativo y lo cualitativo hecho de forma explícita (pp. 73, 77).</w:t>
      </w:r>
    </w:p>
    <w:p>
      <w:pPr>
        <w:pStyle w:val="ListNumber"/>
      </w:pPr>
      <w:r>
        <w:rPr>
          <w:rFonts w:ascii="Calibri" w:hAnsi="Calibri"/>
          <w:b/>
          <w:color w:val="2B2B2B"/>
          <w:sz w:val="22"/>
        </w:rPr>
        <w:t>La priorización está argumentada, no elegida por gusto:</w:t>
      </w:r>
      <w:r>
        <w:rPr>
          <w:rFonts w:ascii="Calibri" w:hAnsi="Calibri"/>
          <w:b w:val="0"/>
          <w:color w:val="2B2B2B"/>
          <w:sz w:val="22"/>
        </w:rPr>
        <w:t xml:space="preserve"> matriz de impacto/frecuencia/prioridad (pp. 75-76) y el backlog respeta ese orden (pp. 84-85).</w:t>
      </w:r>
    </w:p>
    <w:p>
      <w:pPr>
        <w:pStyle w:val="ListNumber"/>
      </w:pPr>
      <w:r>
        <w:rPr>
          <w:rFonts w:ascii="Calibri" w:hAnsi="Calibri"/>
          <w:b/>
          <w:color w:val="2B2B2B"/>
          <w:sz w:val="22"/>
        </w:rPr>
        <w:t>Los dieciséis indicadores están operacionalizados</w:t>
      </w:r>
      <w:r>
        <w:rPr>
          <w:rFonts w:ascii="Calibri" w:hAnsi="Calibri"/>
          <w:b w:val="0"/>
          <w:color w:val="2B2B2B"/>
          <w:sz w:val="22"/>
        </w:rPr>
        <w:t xml:space="preserve"> con nueve atributos —fórmula, fuente de información, frecuencia, responsable, meta, unidad de medida, línea base, sentido esperado y regla de interpretación—, enunciados en la p. 92 y desplegados en la Tabla 14 (pp. 93-97). Es más de lo que suele traer un tablero «conceptual», y catorce de las dieciséis metas sí son numéricas —≥ 95 %, ≤ 20 días, ≤ 10 %, ≤ 3 %, ≥ 90 %, ≥ 98 %, ≤ 5 errores, ≤ 2 días, ≥ 4,0 / 5, ≥ 80 %, ≥ 70 %—. Las dos excepciones: «Solicitudes recibidas por código QR» lleva «Seguimiento continuo» (p. 95) y «Usuarios activos del ecosistema» lleva «Tendencia creciente» (p. 96).</w:t>
      </w:r>
    </w:p>
    <w:p>
      <w:pPr>
        <w:pStyle w:val="ListNumber"/>
      </w:pPr>
      <w:r>
        <w:rPr>
          <w:rFonts w:ascii="Calibri" w:hAnsi="Calibri"/>
          <w:b/>
          <w:color w:val="2B2B2B"/>
          <w:sz w:val="22"/>
        </w:rPr>
        <w:t>Limitaciones honestas y suficientes:</w:t>
      </w:r>
      <w:r>
        <w:rPr>
          <w:rFonts w:ascii="Calibri" w:hAnsi="Calibri"/>
          <w:b w:val="0"/>
          <w:color w:val="2B2B2B"/>
          <w:sz w:val="22"/>
        </w:rPr>
        <w:t xml:space="preserve"> dependencia tecnológica, acceso restringido a datos reales, resistencia al cambio, licencias, tiempo insuficiente para validar a largo plazo y no generalización más allá del caso (pp. 26-27).</w:t>
      </w:r>
    </w:p>
    <w:p>
      <w:pPr>
        <w:pStyle w:val="ListNumber"/>
      </w:pPr>
      <w:r>
        <w:rPr>
          <w:rFonts w:ascii="Calibri" w:hAnsi="Calibri"/>
          <w:b/>
          <w:color w:val="2B2B2B"/>
          <w:sz w:val="22"/>
        </w:rPr>
        <w:t>Cronograma y presupuesto reales</w:t>
      </w:r>
      <w:r>
        <w:rPr>
          <w:rFonts w:ascii="Calibri" w:hAnsi="Calibri"/>
          <w:b w:val="0"/>
          <w:color w:val="2B2B2B"/>
          <w:sz w:val="22"/>
        </w:rPr>
        <w:t>, con rubros, cantidades y total de $10.944.230 (Anexos 1 y 2, pp. 113-115).</w:t>
      </w:r>
    </w:p>
    <w:p>
      <w:pPr>
        <w:pStyle w:val="ListNumber"/>
      </w:pPr>
      <w:r>
        <w:rPr>
          <w:rFonts w:ascii="Calibri" w:hAnsi="Calibri"/>
          <w:b/>
          <w:color w:val="2B2B2B"/>
          <w:sz w:val="22"/>
        </w:rPr>
        <w:t>Instrumentos anexos y auditables:</w:t>
      </w:r>
      <w:r>
        <w:rPr>
          <w:rFonts w:ascii="Calibri" w:hAnsi="Calibri"/>
          <w:b w:val="0"/>
          <w:color w:val="2B2B2B"/>
          <w:sz w:val="22"/>
        </w:rPr>
        <w:t xml:space="preserve"> encuesta (Anexo 3, p. 116 y ss.), guía de entrevista (Anexo 4, pp. 123-124) y descripción de la validación (Anexo 5, pp. 125-126).</w:t>
      </w:r>
    </w:p>
    <w:p>
      <w:pPr>
        <w:spacing w:before="200" w:after="60"/>
      </w:pPr>
      <w:r>
        <w:rPr>
          <w:rFonts w:ascii="Calibri" w:hAnsi="Calibri"/>
          <w:b/>
          <w:color w:val="007433"/>
          <w:sz w:val="32"/>
        </w:rPr>
        <w:t>4. OBSERVACIONES DEL DOCUMENTO — debilidades y huecos (con página)</w:t>
      </w:r>
    </w:p>
    <w:p>
      <w:r>
        <w:rPr>
          <w:rFonts w:ascii="Calibri" w:hAnsi="Calibri"/>
          <w:i/>
          <w:color w:val="2B2B2B"/>
          <w:sz w:val="22"/>
        </w:rPr>
        <w:t>Solo huecos del documento. Lo que el mazo proyecta, y lo que cambia respecto del documento, está en la §5; varios puntos de esta lista remiten allí.</w:t>
      </w:r>
    </w:p>
    <w:p>
      <w:pPr>
        <w:pStyle w:val="ListNumber"/>
      </w:pPr>
      <w:r>
        <w:rPr>
          <w:rFonts w:ascii="Calibri" w:hAnsi="Calibri"/>
          <w:b/>
          <w:color w:val="2B2B2B"/>
          <w:sz w:val="22"/>
        </w:rPr>
        <w:t>Diseño o ejecución de las células, sin resolver.</w:t>
      </w:r>
      <w:r>
        <w:rPr>
          <w:rFonts w:ascii="Calibri" w:hAnsi="Calibri"/>
          <w:b w:val="0"/>
          <w:color w:val="2B2B2B"/>
          <w:sz w:val="22"/>
        </w:rPr>
        <w:t xml:space="preserve"> p. 48 («Conformación de cuatro células ágiles… sprints quincenales», actividad de la fase 2 fechada mayo-junio 2026 en la p. 47) contra las cuatro páginas que remiten el modelo a una «futura implementación»: pp. 82, 88, 92 y 104. </w:t>
      </w:r>
      <w:r>
        <w:rPr>
          <w:rFonts w:ascii="Calibri" w:hAnsi="Calibri"/>
          <w:b/>
          <w:color w:val="2B2B2B"/>
          <w:sz w:val="22"/>
        </w:rPr>
        <w:t>Corrección de cita:</w:t>
      </w:r>
      <w:r>
        <w:rPr>
          <w:rFonts w:ascii="Calibri" w:hAnsi="Calibri"/>
          <w:b w:val="0"/>
          <w:color w:val="2B2B2B"/>
          <w:sz w:val="22"/>
        </w:rPr>
        <w:t xml:space="preserve"> la p. 87 no dice «eventual implementación» —«eventual» tiene cero apariciones en las 126 páginas— y la fórmula correcta en la p. 88 es «guía para la evaluación de las células en una futura implementación». A esto se suma que el modelo asigna un «especialista en herramientas low-code» a cada una de las cuatro células (Tabla 8, p. 83; Figura 10, p. 82) en un área con «carencia de competencias digitales» declarada (p. 19), quince personas en la muestra (p. 99) y sin partida presupuestal para ese perfil (p. 115). Es el hueco más importante del documento porque afecta al objetivo 2 completo. En la pantalla este punto se ve doble: la dp. 8 cambia el verbo de la actividad y la dp. 15 proyecta las cuatro células con sus veinte personas (§5, puntos 1 y 5).</w:t>
      </w:r>
    </w:p>
    <w:p>
      <w:pPr>
        <w:pStyle w:val="ListNumber"/>
      </w:pPr>
      <w:r>
        <w:rPr>
          <w:rFonts w:ascii="Calibri" w:hAnsi="Calibri"/>
          <w:b/>
          <w:color w:val="2B2B2B"/>
          <w:sz w:val="22"/>
        </w:rPr>
        <w:t>Línea base inexistente pero declarada.</w:t>
      </w:r>
      <w:r>
        <w:rPr>
          <w:rFonts w:ascii="Calibri" w:hAnsi="Calibri"/>
          <w:b w:val="0"/>
          <w:color w:val="2B2B2B"/>
          <w:sz w:val="22"/>
        </w:rPr>
        <w:t xml:space="preserve"> «Diagnóstico inicial» en las dieciséis filas de la Tabla 14 (pp. 93-97) sin un solo número —conteo exacto: 3 celdas en la p. 93, 4 en la p. 94, 3 en la p. 95, 4 en la p. 96 y 2 en la p. 97—; el diagnóstico solo produjo promedios Likert (pp. 59-67) y porcentajes de categorías (pp. 73-74). Y no es solo una columna vacía: la fase 1 tenía como </w:t>
      </w:r>
      <w:r>
        <w:rPr>
          <w:rFonts w:ascii="Calibri" w:hAnsi="Calibri"/>
          <w:b/>
          <w:color w:val="2B2B2B"/>
          <w:sz w:val="22"/>
        </w:rPr>
        <w:t>entregable</w:t>
      </w:r>
      <w:r>
        <w:rPr>
          <w:rFonts w:ascii="Calibri" w:hAnsi="Calibri"/>
          <w:b w:val="0"/>
          <w:color w:val="2B2B2B"/>
          <w:sz w:val="22"/>
        </w:rPr>
        <w:t xml:space="preserve"> un «Informe de línea base con mapa de procesos manuales» (p. 47), las pp. 58, 98 y 103 declaran que los resultados constituyeron esa línea base, y el informe no está entre los anexos. </w:t>
      </w:r>
      <w:r>
        <w:rPr>
          <w:rFonts w:ascii="Calibri" w:hAnsi="Calibri"/>
          <w:b/>
          <w:color w:val="2B2B2B"/>
          <w:sz w:val="22"/>
        </w:rPr>
        <w:t>Corrección de recuento:</w:t>
      </w:r>
      <w:r>
        <w:rPr>
          <w:rFonts w:ascii="Calibri" w:hAnsi="Calibri"/>
          <w:b w:val="0"/>
          <w:color w:val="2B2B2B"/>
          <w:sz w:val="22"/>
        </w:rPr>
        <w:t xml:space="preserve"> «línea base» aparece en </w:t>
      </w:r>
      <w:r>
        <w:rPr>
          <w:rFonts w:ascii="Calibri" w:hAnsi="Calibri"/>
          <w:b/>
          <w:color w:val="2B2B2B"/>
          <w:sz w:val="22"/>
        </w:rPr>
        <w:t>seis</w:t>
      </w:r>
      <w:r>
        <w:rPr>
          <w:rFonts w:ascii="Calibri" w:hAnsi="Calibri"/>
          <w:b w:val="0"/>
          <w:color w:val="2B2B2B"/>
          <w:sz w:val="22"/>
        </w:rPr>
        <w:t xml:space="preserve"> páginas de las 126, no en cuatro: como entregable declarado o cumplido en las pp. 47, 58, 98 y 103, y como nombre del noveno atributo de los indicadores y como encabezado de columna de la Tabla 14 en las pp. 92-93. En ninguna de las pp. 113-126, que son los anexos. Sumado al «70 % manual» sin fuente (p. 45), el punto de partida del proyecto no es verificable. La dp. 8 borra ese entregable de la pantalla (§5, punto 1) y la dp. 19 no trae una sola línea base (§5, punto 8).</w:t>
      </w:r>
    </w:p>
    <w:p>
      <w:pPr>
        <w:pStyle w:val="ListNumber"/>
      </w:pPr>
      <w:r>
        <w:rPr>
          <w:rFonts w:ascii="Calibri" w:hAnsi="Calibri"/>
          <w:b/>
          <w:color w:val="2B2B2B"/>
          <w:sz w:val="22"/>
        </w:rPr>
        <w:t>Muestreo declarado por encima de lo hecho.</w:t>
      </w:r>
      <w:r>
        <w:rPr>
          <w:rFonts w:ascii="Calibri" w:hAnsi="Calibri"/>
          <w:b w:val="0"/>
          <w:color w:val="2B2B2B"/>
          <w:sz w:val="22"/>
        </w:rPr>
        <w:t xml:space="preserve"> Se afirma «muestreo estratificado probabilístico» (pp. 45, 49) sin marco de muestreo, sin cálculo de tamaño, sin nivel de confianza ni error; y los estratos anunciados (nivel jerárquico y antigüedad, p. 45) no son los reportados (área y antigüedad, pp. 99-101). A nivel de especialización no se exige representatividad estadística, pero sí que lo declarado coincida con lo hecho. Este reparo </w:t>
      </w:r>
      <w:r>
        <w:rPr>
          <w:rFonts w:ascii="Calibri" w:hAnsi="Calibri"/>
          <w:b/>
          <w:color w:val="2B2B2B"/>
          <w:sz w:val="22"/>
        </w:rPr>
        <w:t>no llega a la pantalla</w:t>
      </w:r>
      <w:r>
        <w:rPr>
          <w:rFonts w:ascii="Calibri" w:hAnsi="Calibri"/>
          <w:b w:val="0"/>
          <w:color w:val="2B2B2B"/>
          <w:sz w:val="22"/>
        </w:rPr>
        <w:t>: la dp. 7 no dice «estratificado probabilístico» (§5, punto 12). Lo que sí llega es una tercera cifra de la composición de la muestra (§5, punto 2).</w:t>
      </w:r>
    </w:p>
    <w:p>
      <w:pPr>
        <w:pStyle w:val="ListNumber"/>
      </w:pPr>
      <w:r>
        <w:rPr>
          <w:rFonts w:ascii="Calibri" w:hAnsi="Calibri"/>
          <w:b/>
          <w:color w:val="2B2B2B"/>
          <w:sz w:val="22"/>
        </w:rPr>
        <w:t>Plan de análisis incumplido en un detalle:</w:t>
      </w:r>
      <w:r>
        <w:rPr>
          <w:rFonts w:ascii="Calibri" w:hAnsi="Calibri"/>
          <w:b w:val="0"/>
          <w:color w:val="2B2B2B"/>
          <w:sz w:val="22"/>
        </w:rPr>
        <w:t xml:space="preserve"> la p. 44 anuncia «promedios, medianas y frecuencias» y los resultados solo traen promedios y porcentajes (pp. 59-67). No hay ninguna mediana.</w:t>
      </w:r>
    </w:p>
    <w:p>
      <w:pPr>
        <w:pStyle w:val="ListNumber"/>
      </w:pPr>
      <w:r>
        <w:rPr>
          <w:rFonts w:ascii="Calibri" w:hAnsi="Calibri"/>
          <w:b/>
          <w:color w:val="2B2B2B"/>
          <w:sz w:val="22"/>
        </w:rPr>
        <w:t>Capítulo 10 «Resultados y discusión» anuncia lo que no contiene.</w:t>
      </w:r>
      <w:r>
        <w:rPr>
          <w:rFonts w:ascii="Calibri" w:hAnsi="Calibri"/>
          <w:b w:val="0"/>
          <w:color w:val="2B2B2B"/>
          <w:sz w:val="22"/>
        </w:rPr>
        <w:t xml:space="preserve"> La p. 98 promete resultados por dimensión e integración de entrevistas y observación, pero el capítulo solo trae «10.1 Caracterización de la muestra» (pp. 99-102): los resultados ya estaban en el capítulo 9 (pp. 58-97). Duplicación estructural, que el mazo repite con los rótulos invertidos de las dp. 10 y 11 (§5, punto 3).</w:t>
      </w:r>
    </w:p>
    <w:p>
      <w:pPr>
        <w:pStyle w:val="ListNumber"/>
      </w:pPr>
      <w:r>
        <w:rPr>
          <w:rFonts w:ascii="Calibri" w:hAnsi="Calibri"/>
          <w:b/>
          <w:color w:val="2B2B2B"/>
          <w:sz w:val="22"/>
        </w:rPr>
        <w:t>Módulos anunciados y sin desarrollo propio.</w:t>
      </w:r>
      <w:r>
        <w:rPr>
          <w:rFonts w:ascii="Calibri" w:hAnsi="Calibri"/>
          <w:b w:val="0"/>
          <w:color w:val="2B2B2B"/>
          <w:sz w:val="22"/>
        </w:rPr>
        <w:t xml:space="preserve"> </w:t>
      </w:r>
      <w:r>
        <w:rPr>
          <w:rFonts w:ascii="Calibri" w:hAnsi="Calibri"/>
          <w:b/>
          <w:color w:val="2B2B2B"/>
          <w:sz w:val="22"/>
        </w:rPr>
        <w:t>Corrección de cita:</w:t>
      </w:r>
      <w:r>
        <w:rPr>
          <w:rFonts w:ascii="Calibri" w:hAnsi="Calibri"/>
          <w:b w:val="0"/>
          <w:color w:val="2B2B2B"/>
          <w:sz w:val="22"/>
        </w:rPr>
        <w:t xml:space="preserve"> los cuatro que enuncian la p. 17 y la p. 20 son «novedades de nómina, portal de autogestión, calidad de vida y seguimiento de vinculaciones» —el </w:t>
      </w:r>
      <w:r>
        <w:rPr>
          <w:rFonts w:ascii="Calibri" w:hAnsi="Calibri"/>
          <w:b/>
          <w:color w:val="2B2B2B"/>
          <w:sz w:val="22"/>
        </w:rPr>
        <w:t>QR no está ahí</w:t>
      </w:r>
      <w:r>
        <w:rPr>
          <w:rFonts w:ascii="Calibri" w:hAnsi="Calibri"/>
          <w:b w:val="0"/>
          <w:color w:val="2B2B2B"/>
          <w:sz w:val="22"/>
        </w:rPr>
        <w:t>: aparece por primera vez como caja de las Figuras 8 y 9 (pp. 80-81) y como indicador en la p. 95—. La Figura 9 dibuja los seis módulos como cajas de la arquitectura (p. 81) y la interfaz principal ofrece seis accesos, ninguno de ellos QR (Figura 11, p. 89); nómina, calidad de vida y QR sí tienen indicadores caracterizados en la Tabla 14 (pp. 94-95). Pero ninguno tiene pantalla propia ni especificación funcional: las cinco pantallas de las pp. 89-91 solo desarrollan vinculaciones y el tablero. La autogestión es, además, uno de los tres propósitos del objetivo general (p. 22). El mazo proyecta cuatro de esas cinco pantallas y una banda de integración que se queda en cuatro módulos (§5, puntos 5 y 7).</w:t>
      </w:r>
    </w:p>
    <w:p>
      <w:pPr>
        <w:pStyle w:val="ListNumber"/>
      </w:pPr>
      <w:r>
        <w:rPr>
          <w:rFonts w:ascii="Calibri" w:hAnsi="Calibri"/>
          <w:b/>
          <w:color w:val="2B2B2B"/>
          <w:sz w:val="22"/>
        </w:rPr>
        <w:t>Cero menciones de ética y autorización.</w:t>
      </w:r>
      <w:r>
        <w:rPr>
          <w:rFonts w:ascii="Calibri" w:hAnsi="Calibri"/>
          <w:b w:val="0"/>
          <w:color w:val="2B2B2B"/>
          <w:sz w:val="22"/>
        </w:rPr>
        <w:t xml:space="preserve"> Búsqueda en las 126 páginas de «consentimiento», «confidencialidad», «ética», «anonimato», «habeas», «autorización», «aval» y «carta»: </w:t>
      </w:r>
      <w:r>
        <w:rPr>
          <w:rFonts w:ascii="Calibri" w:hAnsi="Calibri"/>
          <w:b/>
          <w:color w:val="2B2B2B"/>
          <w:sz w:val="22"/>
        </w:rPr>
        <w:t>ningún resultado</w:t>
      </w:r>
      <w:r>
        <w:rPr>
          <w:rFonts w:ascii="Calibri" w:hAnsi="Calibri"/>
          <w:b w:val="0"/>
          <w:color w:val="2B2B2B"/>
          <w:sz w:val="22"/>
        </w:rPr>
        <w:t xml:space="preserve">. Matiz único: «confidencial» sí aparece, </w:t>
      </w:r>
      <w:r>
        <w:rPr>
          <w:rFonts w:ascii="Calibri" w:hAnsi="Calibri"/>
          <w:b/>
          <w:color w:val="2B2B2B"/>
          <w:sz w:val="22"/>
        </w:rPr>
        <w:t>una vez y en la p. 26</w:t>
      </w:r>
      <w:r>
        <w:rPr>
          <w:rFonts w:ascii="Calibri" w:hAnsi="Calibri"/>
          <w:b w:val="0"/>
          <w:color w:val="2B2B2B"/>
          <w:sz w:val="22"/>
        </w:rPr>
        <w:t xml:space="preserve">, pero referido al acceso restringido del equipo a la información de la empresa («no se cuenta con acceso total a información confidencial o sensible del área»), no a la protección de los participantes. Los cinco anexos son cronograma (p. 113), presupuesto (p. 115), encuesta (p. 116), guía de entrevista (p. 123) y validación (p. 125): </w:t>
      </w:r>
      <w:r>
        <w:rPr>
          <w:rFonts w:ascii="Calibri" w:hAnsi="Calibri"/>
          <w:b/>
          <w:color w:val="2B2B2B"/>
          <w:sz w:val="22"/>
        </w:rPr>
        <w:t>ninguno es una autorización</w:t>
      </w:r>
      <w:r>
        <w:rPr>
          <w:rFonts w:ascii="Calibri" w:hAnsi="Calibri"/>
          <w:b w:val="0"/>
          <w:color w:val="2B2B2B"/>
          <w:sz w:val="22"/>
        </w:rPr>
        <w:t xml:space="preserve"> (pp. 113-126). La organización se mantiene sin nombre (p. 45) sin declarar que sea deliberado. Son 175 participantes reales.</w:t>
      </w:r>
    </w:p>
    <w:p>
      <w:pPr>
        <w:pStyle w:val="ListNumber"/>
      </w:pPr>
      <w:r>
        <w:rPr>
          <w:rFonts w:ascii="Calibri" w:hAnsi="Calibri"/>
          <w:b/>
          <w:color w:val="2B2B2B"/>
          <w:sz w:val="22"/>
        </w:rPr>
        <w:t>Ninguna referencia a similitud o Turnitin</w:t>
      </w:r>
      <w:r>
        <w:rPr>
          <w:rFonts w:ascii="Calibri" w:hAnsi="Calibri"/>
          <w:b w:val="0"/>
          <w:color w:val="2B2B2B"/>
          <w:sz w:val="22"/>
        </w:rPr>
        <w:t xml:space="preserve"> en el documento (búsqueda de «Turnitin» y «similitud»: sin resultados). No es un hallazgo contra el grupo: es un dato que le corresponde al metodólogo (ver §9).</w:t>
      </w:r>
    </w:p>
    <w:p>
      <w:pPr>
        <w:pStyle w:val="ListNumber"/>
      </w:pPr>
      <w:r>
        <w:rPr>
          <w:rFonts w:ascii="Calibri" w:hAnsi="Calibri"/>
          <w:b/>
          <w:color w:val="2B2B2B"/>
          <w:sz w:val="22"/>
        </w:rPr>
        <w:t>Anexo 5 sin sustancia verificable:</w:t>
      </w:r>
      <w:r>
        <w:rPr>
          <w:rFonts w:ascii="Calibri" w:hAnsi="Calibri"/>
          <w:b w:val="0"/>
          <w:color w:val="2B2B2B"/>
          <w:sz w:val="22"/>
        </w:rPr>
        <w:t xml:space="preserve"> describe el juicio de expertos y sus cuatro aspectos evaluados, pero no dice </w:t>
      </w:r>
      <w:r>
        <w:rPr>
          <w:rFonts w:ascii="Calibri" w:hAnsi="Calibri"/>
          <w:b/>
          <w:color w:val="2B2B2B"/>
          <w:sz w:val="22"/>
        </w:rPr>
        <w:t>cuántos</w:t>
      </w:r>
      <w:r>
        <w:rPr>
          <w:rFonts w:ascii="Calibri" w:hAnsi="Calibri"/>
          <w:b w:val="0"/>
          <w:color w:val="2B2B2B"/>
          <w:sz w:val="22"/>
        </w:rPr>
        <w:t xml:space="preserve"> expertos, </w:t>
      </w:r>
      <w:r>
        <w:rPr>
          <w:rFonts w:ascii="Calibri" w:hAnsi="Calibri"/>
          <w:b/>
          <w:color w:val="2B2B2B"/>
          <w:sz w:val="22"/>
        </w:rPr>
        <w:t>quiénes</w:t>
      </w:r>
      <w:r>
        <w:rPr>
          <w:rFonts w:ascii="Calibri" w:hAnsi="Calibri"/>
          <w:b w:val="0"/>
          <w:color w:val="2B2B2B"/>
          <w:sz w:val="22"/>
        </w:rPr>
        <w:t xml:space="preserve"> ni incluye los formatos diligenciados (pp. 125-126). Agravante: la p. 124 anuncia que «la evidencia del proceso de validación se presenta en el Anexo 5», y lo que el anexo trae es la frase «profesionales con experiencia en Gestión Humana y transformación digital», sin número ni perfil.</w:t>
      </w:r>
    </w:p>
    <w:p>
      <w:pPr>
        <w:pStyle w:val="ListNumber"/>
      </w:pPr>
      <w:r>
        <w:rPr>
          <w:rFonts w:ascii="Calibri" w:hAnsi="Calibri"/>
          <w:b/>
          <w:color w:val="2B2B2B"/>
          <w:sz w:val="22"/>
        </w:rPr>
        <w:t>Lista de referencias con dos series alfabéticas y restos de plantilla.</w:t>
      </w:r>
      <w:r>
        <w:rPr>
          <w:rFonts w:ascii="Calibri" w:hAnsi="Calibri"/>
          <w:b w:val="0"/>
          <w:color w:val="2B2B2B"/>
          <w:sz w:val="22"/>
        </w:rPr>
        <w:t xml:space="preserve"> Una serie en pp. 107-111, que termina en «What Is Low-Code? | IBM», y otra, con otro formato, que arranca en la misma p. 111 con «A. WRojas Gallardo» y llega a la p. 112. Duplicados exactos: Pérez 2024a/b/c y Páez-Gabriunas 2021a/b (p. 109), Rojas Gallardo repetido (pp. 110-111) y </w:t>
      </w:r>
      <w:r>
        <w:rPr>
          <w:rFonts w:ascii="Calibri" w:hAnsi="Calibri"/>
          <w:b/>
          <w:color w:val="2B2B2B"/>
          <w:sz w:val="22"/>
        </w:rPr>
        <w:t>uno más que la ficha no registraba: «Gtalent (23 de 09 de 2024)» dos veces en la p. 111</w:t>
      </w:r>
      <w:r>
        <w:rPr>
          <w:rFonts w:ascii="Calibri" w:hAnsi="Calibri"/>
          <w:b w:val="0"/>
          <w:color w:val="2B2B2B"/>
          <w:sz w:val="22"/>
        </w:rPr>
        <w:t xml:space="preserve">. Dos citas del texto que no están en la lista: Méndez-Gutiérrez et al. (2023) y Pastuña (2025), ambas en la p. 15. Y entradas sin relación alguna con el proyecto: la norma IEEE 802.15.4 (2006), el software SPSS 27 —que la metodología nunca usa—, Rioja (2008) sobre judicialización de la salud y personas sordas, y Ramírez &amp; Guzmán sobre sistemas participativos de garantía agrarios; </w:t>
      </w:r>
      <w:r>
        <w:rPr>
          <w:rFonts w:ascii="Calibri" w:hAnsi="Calibri"/>
          <w:b/>
          <w:color w:val="2B2B2B"/>
          <w:sz w:val="22"/>
        </w:rPr>
        <w:t>las cuatro están en la p. 112</w:t>
      </w:r>
      <w:r>
        <w:rPr>
          <w:rFonts w:ascii="Calibri" w:hAnsi="Calibri"/>
          <w:b w:val="0"/>
          <w:color w:val="2B2B2B"/>
          <w:sz w:val="22"/>
        </w:rPr>
        <w:t xml:space="preserve">, no repartidas entre 111 y 112. </w:t>
      </w:r>
      <w:r>
        <w:rPr>
          <w:rFonts w:ascii="Calibri" w:hAnsi="Calibri"/>
          <w:b/>
          <w:color w:val="2B2B2B"/>
          <w:sz w:val="22"/>
        </w:rPr>
        <w:t>Corrección de cita:</w:t>
      </w:r>
      <w:r>
        <w:rPr>
          <w:rFonts w:ascii="Calibri" w:hAnsi="Calibri"/>
          <w:b w:val="0"/>
          <w:color w:val="2B2B2B"/>
          <w:sz w:val="22"/>
        </w:rPr>
        <w:t xml:space="preserve"> no decir que «el análisis fue en Google Forms y estadística descriptiva (p. 56)» — la p. 56 solo nombra Google Forms, y como herramienta de aplicación de la encuesta; «estadística descriptiva» está en las pp. 44 y 48. Son ejemplos típicos de una plantilla APA que no se depuró. Cuál de las dos series llega a la sala importa para la nota: el mazo proyecta la primera completa y </w:t>
      </w:r>
      <w:r>
        <w:rPr>
          <w:rFonts w:ascii="Calibri" w:hAnsi="Calibri"/>
          <w:b/>
          <w:color w:val="2B2B2B"/>
          <w:sz w:val="22"/>
        </w:rPr>
        <w:t>omite la segunda</w:t>
      </w:r>
      <w:r>
        <w:rPr>
          <w:rFonts w:ascii="Calibri" w:hAnsi="Calibri"/>
          <w:b w:val="0"/>
          <w:color w:val="2B2B2B"/>
          <w:sz w:val="22"/>
        </w:rPr>
        <w:t>, que es donde están las cuatro entradas más ajenas al proyecto (§5, punto 9).</w:t>
      </w:r>
    </w:p>
    <w:p>
      <w:r>
        <w:rPr>
          <w:rFonts w:ascii="Calibri" w:hAnsi="Calibri"/>
          <w:b/>
          <w:color w:val="2B2B2B"/>
          <w:sz w:val="22"/>
        </w:rPr>
        <w:t>Forma y ortografía (bloque breve, no se pregunta en sala).</w:t>
      </w:r>
      <w:r>
        <w:rPr>
          <w:rFonts w:ascii="Calibri" w:hAnsi="Calibri"/>
          <w:b w:val="0"/>
          <w:color w:val="2B2B2B"/>
          <w:sz w:val="22"/>
        </w:rPr>
        <w:t xml:space="preserve"> «Elboración propia» </w:t>
      </w:r>
      <w:r>
        <w:rPr>
          <w:rFonts w:ascii="Calibri" w:hAnsi="Calibri"/>
          <w:b/>
          <w:color w:val="2B2B2B"/>
          <w:sz w:val="22"/>
        </w:rPr>
        <w:t>en dos sitios</w:t>
      </w:r>
      <w:r>
        <w:rPr>
          <w:rFonts w:ascii="Calibri" w:hAnsi="Calibri"/>
          <w:b w:val="0"/>
          <w:color w:val="2B2B2B"/>
          <w:sz w:val="22"/>
        </w:rPr>
        <w:t xml:space="preserve">: la Tabla 9 (p. 84) y la Lista de tablas que la arrastra (p. 7); «TECONOLOGICOS» </w:t>
      </w:r>
      <w:r>
        <w:rPr>
          <w:rFonts w:ascii="Calibri" w:hAnsi="Calibri"/>
          <w:b/>
          <w:color w:val="2B2B2B"/>
          <w:sz w:val="22"/>
        </w:rPr>
        <w:t>dos veces en la misma p. 115</w:t>
      </w:r>
      <w:r>
        <w:rPr>
          <w:rFonts w:ascii="Calibri" w:hAnsi="Calibri"/>
          <w:b w:val="0"/>
          <w:color w:val="2B2B2B"/>
          <w:sz w:val="22"/>
        </w:rPr>
        <w:t xml:space="preserve"> (encabezado del rubro y línea del total); falta un «se» en «Como parte de la propuesta diseñaron las interfaces» (p. 16); encabezado fusionado «8.3 Población y muestra Componente cuantitativo:» (p. 45); numeración del marco inconsistente —el índice lista «7 Tecnologías habilitadoras» y «7.3 Marco conceptual» mientras el marco teórico es 6.2 y </w:t>
      </w:r>
      <w:r>
        <w:rPr>
          <w:rFonts w:ascii="Calibri" w:hAnsi="Calibri"/>
          <w:b/>
          <w:color w:val="2B2B2B"/>
          <w:sz w:val="22"/>
        </w:rPr>
        <w:t>no existe ningún 6.2.1</w:t>
      </w:r>
      <w:r>
        <w:rPr>
          <w:rFonts w:ascii="Calibri" w:hAnsi="Calibri"/>
          <w:b w:val="0"/>
          <w:color w:val="2B2B2B"/>
          <w:sz w:val="22"/>
        </w:rPr>
        <w:t xml:space="preserve">: salta de «6.2 Marco teórico» a «6.2.2 Ecosistemas digitales integrales en HR», ambos en el folio 35 (pp. 4-5)—; referencias cruzadas erradas: la p. 99 remite a la «Tabla 16» para mostrar la Tabla 15, la p. 101 remite a la «Tabla 17» para la Tabla 16 —Tabla 17 que no existe: la Lista de tablas termina en la 16 (p. 7)—, y la figura de antigüedad se numera «Figura 10» (p. 101) cuando la Figura 10 es el modelo de células ágiles (p. 82); esa figura de antigüedad </w:t>
      </w:r>
      <w:r>
        <w:rPr>
          <w:rFonts w:ascii="Calibri" w:hAnsi="Calibri"/>
          <w:b/>
          <w:color w:val="2B2B2B"/>
          <w:sz w:val="22"/>
        </w:rPr>
        <w:t>tampoco está en la Lista de figuras</w:t>
      </w:r>
      <w:r>
        <w:rPr>
          <w:rFonts w:ascii="Calibri" w:hAnsi="Calibri"/>
          <w:b w:val="0"/>
          <w:color w:val="2B2B2B"/>
          <w:sz w:val="22"/>
        </w:rPr>
        <w:t xml:space="preserve"> (p. 8), que termina en la Figura 15. Además, en la p. 89 las dos imágenes están </w:t>
      </w:r>
      <w:r>
        <w:rPr>
          <w:rFonts w:ascii="Calibri" w:hAnsi="Calibri"/>
          <w:b/>
          <w:color w:val="2B2B2B"/>
          <w:sz w:val="22"/>
        </w:rPr>
        <w:t>superpuestas</w:t>
      </w:r>
      <w:r>
        <w:rPr>
          <w:rFonts w:ascii="Calibri" w:hAnsi="Calibri"/>
          <w:b w:val="0"/>
          <w:color w:val="2B2B2B"/>
          <w:sz w:val="22"/>
        </w:rPr>
        <w:t>: la del módulo de vinculaciones queda encima de la interfaz principal, de modo que en pantalla se ve la Figura 12 sobre el pie que dice «Figura 11» y el pie de la Figura 12 queda sin imagen. Y el rótulo interno de la Figura 8 dice «Proceso TO BE del ecosistema digital propuesto», distinto del pie que imprime el documento (p. 80) —y esa misma figura es la que la dp. 13 proyecta bajo el título del segundo objetivo (§5, punto 6)—. La forma del mazo va aparte, al final de la §5.</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Sustentación Proyecto de grado- Loren Prieto - Yulieth Rodriguez.pdf</w:t>
      </w:r>
      <w:r>
        <w:rPr>
          <w:rFonts w:ascii="Calibri" w:hAnsi="Calibri"/>
          <w:b w:val="0"/>
          <w:color w:val="2B2B2B"/>
          <w:sz w:val="22"/>
        </w:rPr>
        <w:t xml:space="preserve"> — </w:t>
      </w:r>
      <w:r>
        <w:rPr>
          <w:rFonts w:ascii="Calibri" w:hAnsi="Calibri"/>
          <w:b/>
          <w:color w:val="2B2B2B"/>
          <w:sz w:val="22"/>
        </w:rPr>
        <w:t>23 diapositivas</w:t>
      </w:r>
      <w:r>
        <w:rPr>
          <w:rFonts w:ascii="Calibri" w:hAnsi="Calibri"/>
          <w:b w:val="0"/>
          <w:color w:val="2B2B2B"/>
          <w:sz w:val="22"/>
        </w:rPr>
        <w:t xml:space="preserve"> (1 portada · 2 introducción: contexto e importancia · 3 problema y pregunta central · 4 objetivo general y los cuatro específicos · 5 justificación, alcances y limitaciones · 6 marco referencial: teorías, antecedentes y conceptos · 7 metodología · 8 ruta metodológica del proyecto, infografía de tres fases · 9 diseño y validación de instrumentos · 10 aplicación de los instrumentos · 11 «Resultados»: caracterización de la muestra y priorización · 12 proceso AS IS · 13 proceso TO BE bajo el título del segundo objetivo · 14 arquitectura del ecosistema · 15 modelo de células ágiles · 16 interfaz principal · 17 módulo de vinculaciones · 18 módulo de seguimiento · 19 tablero de indicadores · 20 conclusiones, recomendaciones e implicaciones · 21 referencias bibliográficas · 22 divisor «Preguntas» · 23 «Gracias»).</w:t>
      </w:r>
    </w:p>
    <w:p>
      <w:r>
        <w:rPr>
          <w:rFonts w:ascii="Calibri" w:hAnsi="Calibri"/>
          <w:b/>
          <w:color w:val="2B2B2B"/>
          <w:sz w:val="22"/>
        </w:rPr>
        <w:t>El mazo hace lo contrario de lo que suele hacer un mazo: es más prudente que el documento.</w:t>
      </w:r>
      <w:r>
        <w:rPr>
          <w:rFonts w:ascii="Calibri" w:hAnsi="Calibri"/>
          <w:b w:val="0"/>
          <w:color w:val="2B2B2B"/>
          <w:sz w:val="22"/>
        </w:rPr>
        <w:t xml:space="preserve"> No infla nada —no hay un porcentaje de mejora inventado, no hay un impacto que no se midió, el tablero se rotula «Con datos simulados» (dp. 19) y la dp. 20 recomienda un piloto—. Lo que hace es </w:t>
      </w:r>
      <w:r>
        <w:rPr>
          <w:rFonts w:ascii="Calibri" w:hAnsi="Calibri"/>
          <w:b/>
          <w:color w:val="2B2B2B"/>
          <w:sz w:val="22"/>
        </w:rPr>
        <w:t>corregir en silencio tres de los reparos que sostienen la nota</w:t>
      </w:r>
      <w:r>
        <w:rPr>
          <w:rFonts w:ascii="Calibri" w:hAnsi="Calibri"/>
          <w:b w:val="0"/>
          <w:color w:val="2B2B2B"/>
          <w:sz w:val="22"/>
        </w:rPr>
        <w:t xml:space="preserve">: la dp. 8 borra el «Informe de línea base» del entregable de la fase 1, cambia «Conformación de cuatro células ágiles» por «Definición de las cuatro células ágiles» y mueve la arquitectura funcional de la fase 2 a la fase 3; y la dp. 21 deja fuera la segunda serie de referencias, que es donde están las entradas más ajenas al proyecto. Eso obliga a una decisión de jurado antes de entrar: </w:t>
      </w:r>
      <w:r>
        <w:rPr>
          <w:rFonts w:ascii="Calibri" w:hAnsi="Calibri"/>
          <w:b/>
          <w:color w:val="2B2B2B"/>
          <w:sz w:val="22"/>
        </w:rPr>
        <w:t>lo que se califica es el documento</w:t>
      </w:r>
      <w:r>
        <w:rPr>
          <w:rFonts w:ascii="Calibri" w:hAnsi="Calibri"/>
          <w:b w:val="0"/>
          <w:color w:val="2B2B2B"/>
          <w:sz w:val="22"/>
        </w:rPr>
        <w:t xml:space="preserve">, así que la versión corregida de la pantalla no borra el reparo, pero sí cambia cómo se pregunta —la P1 pasa de «¿se conformaron?» a «¿cuál de las dos versiones manda?»— y de paso </w:t>
      </w:r>
      <w:r>
        <w:rPr>
          <w:rFonts w:ascii="Calibri" w:hAnsi="Calibri"/>
          <w:b/>
          <w:color w:val="2B2B2B"/>
          <w:sz w:val="22"/>
        </w:rPr>
        <w:t>refuerza la P2</w:t>
      </w:r>
      <w:r>
        <w:rPr>
          <w:rFonts w:ascii="Calibri" w:hAnsi="Calibri"/>
          <w:b w:val="0"/>
          <w:color w:val="2B2B2B"/>
          <w:sz w:val="22"/>
        </w:rPr>
        <w:t xml:space="preserve">, porque su propia diapositiva ya no promete una línea base. En sentido contrario, el mazo abre dos frentes nuevos que el documento no tenía: </w:t>
      </w:r>
      <w:r>
        <w:rPr>
          <w:rFonts w:ascii="Calibri" w:hAnsi="Calibri"/>
          <w:b/>
          <w:color w:val="2B2B2B"/>
          <w:sz w:val="22"/>
        </w:rPr>
        <w:t>se contradice consigo mismo en la composición de la muestra</w:t>
      </w:r>
      <w:r>
        <w:rPr>
          <w:rFonts w:ascii="Calibri" w:hAnsi="Calibri"/>
          <w:b w:val="0"/>
          <w:color w:val="2B2B2B"/>
          <w:sz w:val="22"/>
        </w:rPr>
        <w:t xml:space="preserve"> y proyecta el tablero con </w:t>
      </w:r>
      <w:r>
        <w:rPr>
          <w:rFonts w:ascii="Calibri" w:hAnsi="Calibri"/>
          <w:b/>
          <w:color w:val="2B2B2B"/>
          <w:sz w:val="22"/>
        </w:rPr>
        <w:t>dos metas invertidas y una meta incumplida sin señalarla</w:t>
      </w:r>
      <w:r>
        <w:rPr>
          <w:rFonts w:ascii="Calibri" w:hAnsi="Calibri"/>
          <w:b w:val="0"/>
          <w:color w:val="2B2B2B"/>
          <w:sz w:val="22"/>
        </w:rPr>
        <w:t>.</w:t>
      </w:r>
    </w:p>
    <w:p>
      <w:pPr>
        <w:pStyle w:val="ListNumber"/>
      </w:pPr>
      <w:r>
        <w:rPr>
          <w:rFonts w:ascii="Calibri" w:hAnsi="Calibri"/>
          <w:b/>
          <w:color w:val="2B2B2B"/>
          <w:sz w:val="22"/>
        </w:rPr>
        <w:t>La dp. 8 reescribe la ruta metodológica de las pp. 47-48.</w:t>
      </w:r>
      <w:r>
        <w:rPr>
          <w:rFonts w:ascii="Calibri" w:hAnsi="Calibri"/>
          <w:b w:val="0"/>
          <w:color w:val="2B2B2B"/>
          <w:sz w:val="22"/>
        </w:rPr>
        <w:t xml:space="preserve"> La infografía «Ruta metodológica del proyecto» conserva las fechas del documento —«Meses 1–2: noviembre – diciembre 2025», «Meses 3–4: mayo – junio 2026», «Meses 5–6: julio – agosto 2026»— y cambia tres cosas de fondo. </w:t>
      </w:r>
      <w:r>
        <w:rPr>
          <w:rFonts w:ascii="Calibri" w:hAnsi="Calibri"/>
          <w:b/>
          <w:color w:val="2B2B2B"/>
          <w:sz w:val="22"/>
        </w:rPr>
        <w:t>(a)</w:t>
      </w:r>
      <w:r>
        <w:rPr>
          <w:rFonts w:ascii="Calibri" w:hAnsi="Calibri"/>
          <w:b w:val="0"/>
          <w:color w:val="2B2B2B"/>
          <w:sz w:val="22"/>
        </w:rPr>
        <w:t xml:space="preserve"> El entregable de la fase 1 pasa de «Informe de línea base con mapa de procesos manuales» (p. 47) a «Diagnóstico y mapa de procesos susceptibles de optimización», con un «Producto obtenido: Diagnóstico de procesos priorizados»: la línea base desaparece de la pantalla. </w:t>
      </w:r>
      <w:r>
        <w:rPr>
          <w:rFonts w:ascii="Calibri" w:hAnsi="Calibri"/>
          <w:b/>
          <w:color w:val="2B2B2B"/>
          <w:sz w:val="22"/>
        </w:rPr>
        <w:t>(b)</w:t>
      </w:r>
      <w:r>
        <w:rPr>
          <w:rFonts w:ascii="Calibri" w:hAnsi="Calibri"/>
          <w:b w:val="0"/>
          <w:color w:val="2B2B2B"/>
          <w:sz w:val="22"/>
        </w:rPr>
        <w:t xml:space="preserve"> La actividad «Conformación de cuatro células ágiles (5–7 miembros, metodología Scrum/Kanban, sprints quincenales)» (p. 48) pasa a «Definición de las cuatro células ágiles», y las cinco actividades de la fase 2 quedan todas en verbo de diseño —Definición, Asignación, Definición, Definición, Diseño—, con entregable «Modelo de células ágiles». </w:t>
      </w:r>
      <w:r>
        <w:rPr>
          <w:rFonts w:ascii="Calibri" w:hAnsi="Calibri"/>
          <w:b/>
          <w:color w:val="2B2B2B"/>
          <w:sz w:val="22"/>
        </w:rPr>
        <w:t>(c)</w:t>
      </w:r>
      <w:r>
        <w:rPr>
          <w:rFonts w:ascii="Calibri" w:hAnsi="Calibri"/>
          <w:b w:val="0"/>
          <w:color w:val="2B2B2B"/>
          <w:sz w:val="22"/>
        </w:rPr>
        <w:t xml:space="preserve"> La arquitectura funcional se muda: en el documento es objetivo y actividad de la </w:t>
      </w:r>
      <w:r>
        <w:rPr>
          <w:rFonts w:ascii="Calibri" w:hAnsi="Calibri"/>
          <w:b/>
          <w:color w:val="2B2B2B"/>
          <w:sz w:val="22"/>
        </w:rPr>
        <w:t>fase 2</w:t>
      </w:r>
      <w:r>
        <w:rPr>
          <w:rFonts w:ascii="Calibri" w:hAnsi="Calibri"/>
          <w:b w:val="0"/>
          <w:color w:val="2B2B2B"/>
          <w:sz w:val="22"/>
        </w:rPr>
        <w:t xml:space="preserve"> (pp. 47-48), y en la pantalla encabeza la </w:t>
      </w:r>
      <w:r>
        <w:rPr>
          <w:rFonts w:ascii="Calibri" w:hAnsi="Calibri"/>
          <w:b/>
          <w:color w:val="2B2B2B"/>
          <w:sz w:val="22"/>
        </w:rPr>
        <w:t>fase 3</w:t>
      </w:r>
      <w:r>
        <w:rPr>
          <w:rFonts w:ascii="Calibri" w:hAnsi="Calibri"/>
          <w:b w:val="0"/>
          <w:color w:val="2B2B2B"/>
          <w:sz w:val="22"/>
        </w:rPr>
        <w:t xml:space="preserve"> junto al tablero, de modo que cada fase queda con un juego limpio de objetivos (1 / 2 / 3 y 4). Añade además una actividad que la p. 48 no lista, «Definición del backlog priorizado». Y la banda inferior «Análisis de la información» repite la redacción de la p. 48 —«estadística descriptiva»—, que es la versión sin medianas: el plan de la p. 44 («promedios, medianas y frecuencias») tampoco llega a la pantalla (§4, punto 4). Corta para los dos lados y hay que decirlo así: es una ruta mejor alineada con lo que de verdad se entregó, y a la vez es una segunda versión del cronograma que nadie declaró como corrección.</w:t>
      </w:r>
    </w:p>
    <w:p>
      <w:pPr>
        <w:pStyle w:val="ListNumber"/>
      </w:pPr>
      <w:r>
        <w:rPr>
          <w:rFonts w:ascii="Calibri" w:hAnsi="Calibri"/>
          <w:b/>
          <w:color w:val="2B2B2B"/>
          <w:sz w:val="22"/>
        </w:rPr>
        <w:t>El mazo se contradice consigo mismo en la muestra, y la diapositiva que acierta es la segunda.</w:t>
      </w:r>
      <w:r>
        <w:rPr>
          <w:rFonts w:ascii="Calibri" w:hAnsi="Calibri"/>
          <w:b w:val="0"/>
          <w:color w:val="2B2B2B"/>
          <w:sz w:val="22"/>
        </w:rPr>
        <w:t xml:space="preserve"> La dp. 7 afirma «Muestra cuantitativa: 150 colaboradores (20 de RR. HH. y 130 operativos)». Cuatro diapositivas después, la torta de la dp. 11 reparte esos 150 en Operaciones 47 %, Logística 23 %, Comercial 17 %, </w:t>
      </w:r>
      <w:r>
        <w:rPr>
          <w:rFonts w:ascii="Calibri" w:hAnsi="Calibri"/>
          <w:b/>
          <w:color w:val="2B2B2B"/>
          <w:sz w:val="22"/>
        </w:rPr>
        <w:t>Recursos Humanos 10 %</w:t>
      </w:r>
      <w:r>
        <w:rPr>
          <w:rFonts w:ascii="Calibri" w:hAnsi="Calibri"/>
          <w:b w:val="0"/>
          <w:color w:val="2B2B2B"/>
          <w:sz w:val="22"/>
        </w:rPr>
        <w:t xml:space="preserve"> y Otro 3 %: exactamente la Tabla 15 del documento —70, 35, 25, 15 y 5 sobre 150 (p. 99)—. Es decir, el 10 % de la pantalla son quince personas, no veinte, y el propio mazo refuta su dp. 7. La reserva R10 sube de categoría con esto: ya no es «el documento dice otra cosa», es «sus dos diapositivas no dicen lo mismo», y se pregunta señalando la pantalla.</w:t>
      </w:r>
    </w:p>
    <w:p>
      <w:pPr>
        <w:pStyle w:val="ListNumber"/>
      </w:pPr>
      <w:r>
        <w:rPr>
          <w:rFonts w:ascii="Calibri" w:hAnsi="Calibri"/>
          <w:b/>
          <w:color w:val="2B2B2B"/>
          <w:sz w:val="22"/>
        </w:rPr>
        <w:t>Los rótulos de los resultados están invertidos respecto de lo que muestran.</w:t>
      </w:r>
      <w:r>
        <w:rPr>
          <w:rFonts w:ascii="Calibri" w:hAnsi="Calibri"/>
          <w:b w:val="0"/>
          <w:color w:val="2B2B2B"/>
          <w:sz w:val="22"/>
        </w:rPr>
        <w:t xml:space="preserve"> La dp. 10 se titula «Aplicación de los instrumentos de recolección de información» y lo que trae son los hallazgos de las cuatro dimensiones de la encuesta —el capítulo 9 (pp. 58-97)—, en prosa y </w:t>
      </w:r>
      <w:r>
        <w:rPr>
          <w:rFonts w:ascii="Calibri" w:hAnsi="Calibri"/>
          <w:b/>
          <w:color w:val="2B2B2B"/>
          <w:sz w:val="22"/>
        </w:rPr>
        <w:t>sin un solo promedio</w:t>
      </w:r>
      <w:r>
        <w:rPr>
          <w:rFonts w:ascii="Calibri" w:hAnsi="Calibri"/>
          <w:b w:val="0"/>
          <w:color w:val="2B2B2B"/>
          <w:sz w:val="22"/>
        </w:rPr>
        <w:t>; la dp. 11 se titula «Resultados» y lo que trae es la caracterización de la muestra —el capítulo 10 (pp. 99-102)—. El mazo reproduce así la duplicación estructural del §4, punto 5, pero al revés: llama «resultados» a la demografía y «aplicación de instrumentos» a los resultados. Ninguno de los promedios de la encuesta (3,2 · 3,05 · 3,07 · 2,85 · 2,96 · 4,13 · 4,27, pp. 59-67) se proyecta.</w:t>
      </w:r>
    </w:p>
    <w:p>
      <w:pPr>
        <w:pStyle w:val="ListNumber"/>
      </w:pPr>
      <w:r>
        <w:rPr>
          <w:rFonts w:ascii="Calibri" w:hAnsi="Calibri"/>
          <w:b/>
          <w:color w:val="2B2B2B"/>
          <w:sz w:val="22"/>
        </w:rPr>
        <w:t>La dp. 11 proyecta la priorización sin un solo valor, y justifica al ganador con criterios que no son los de la matriz.</w:t>
      </w:r>
      <w:r>
        <w:rPr>
          <w:rFonts w:ascii="Calibri" w:hAnsi="Calibri"/>
          <w:b w:val="0"/>
          <w:color w:val="2B2B2B"/>
          <w:sz w:val="22"/>
        </w:rPr>
        <w:t xml:space="preserve"> El gráfico «Priorización de procesos susceptibles de optimización» tiene cuatro barras rotuladas —Vinculaciones, Gestión documental, Administración del personal, Calidad de vida—, un único eje que dice «Prioridad» y </w:t>
      </w:r>
      <w:r>
        <w:rPr>
          <w:rFonts w:ascii="Calibri" w:hAnsi="Calibri"/>
          <w:b/>
          <w:color w:val="2B2B2B"/>
          <w:sz w:val="22"/>
        </w:rPr>
        <w:t>ninguna cifra</w:t>
      </w:r>
      <w:r>
        <w:rPr>
          <w:rFonts w:ascii="Calibri" w:hAnsi="Calibri"/>
          <w:b w:val="0"/>
          <w:color w:val="2B2B2B"/>
          <w:sz w:val="22"/>
        </w:rPr>
        <w:t xml:space="preserve">; en pantalla las dos primeras barras se ven prácticamente iguales. Debajo, el «Hallazgo principal» declara vinculaciones como eje «debido a su alta carga operativa, la participación de múltiples actores y la necesidad de fortalecer la trazabilidad de la información», tres razones que </w:t>
      </w:r>
      <w:r>
        <w:rPr>
          <w:rFonts w:ascii="Calibri" w:hAnsi="Calibri"/>
          <w:b/>
          <w:color w:val="2B2B2B"/>
          <w:sz w:val="22"/>
        </w:rPr>
        <w:t>no son las tres columnas de la matriz</w:t>
      </w:r>
      <w:r>
        <w:rPr>
          <w:rFonts w:ascii="Calibri" w:hAnsi="Calibri"/>
          <w:b w:val="0"/>
          <w:color w:val="2B2B2B"/>
          <w:sz w:val="22"/>
        </w:rPr>
        <w:t xml:space="preserve"> del documento (impacto, frecuencia y prioridad, pp. 75-76). Es la versión en pantalla del condicional de la §7: si se saltan la fase 1, la pregunta por qué el eje fue vinculaciones y no gestión documental se hace señalando ese gráfico.</w:t>
      </w:r>
    </w:p>
    <w:p>
      <w:pPr>
        <w:pStyle w:val="ListNumber"/>
      </w:pPr>
      <w:r>
        <w:rPr>
          <w:rFonts w:ascii="Calibri" w:hAnsi="Calibri"/>
          <w:b/>
          <w:color w:val="2B2B2B"/>
          <w:sz w:val="22"/>
        </w:rPr>
        <w:t>La dp. 15 proyecta la aritmética de la P1 completa.</w:t>
      </w:r>
      <w:r>
        <w:rPr>
          <w:rFonts w:ascii="Calibri" w:hAnsi="Calibri"/>
          <w:b w:val="0"/>
          <w:color w:val="2B2B2B"/>
          <w:sz w:val="22"/>
        </w:rPr>
        <w:t xml:space="preserve"> La Figura 10 (p. 82) llega entera y legible: cuatro células —Vinculación, Administración de personal, Calidad de vida, Transformación digital—, cada una con </w:t>
      </w:r>
      <w:r>
        <w:rPr>
          <w:rFonts w:ascii="Calibri" w:hAnsi="Calibri"/>
          <w:b/>
          <w:color w:val="2B2B2B"/>
          <w:sz w:val="22"/>
        </w:rPr>
        <w:t>los mismos cinco roles</w:t>
      </w:r>
      <w:r>
        <w:rPr>
          <w:rFonts w:ascii="Calibri" w:hAnsi="Calibri"/>
          <w:b w:val="0"/>
          <w:color w:val="2B2B2B"/>
          <w:sz w:val="22"/>
        </w:rPr>
        <w:t xml:space="preserve">: Analista de RRHH, Psicóloga, Líder de operación, Usuario del proceso y </w:t>
      </w:r>
      <w:r>
        <w:rPr>
          <w:rFonts w:ascii="Calibri" w:hAnsi="Calibri"/>
          <w:b/>
          <w:color w:val="2B2B2B"/>
          <w:sz w:val="22"/>
        </w:rPr>
        <w:t>Especialista en herramientas low-code</w:t>
      </w:r>
      <w:r>
        <w:rPr>
          <w:rFonts w:ascii="Calibri" w:hAnsi="Calibri"/>
          <w:b w:val="0"/>
          <w:color w:val="2B2B2B"/>
          <w:sz w:val="22"/>
        </w:rPr>
        <w:t xml:space="preserve">. Son veinte casillas de rol —el mínimo de las «5–7 miembros» que anuncia la p. 48— y cuatro perfiles low-code a la vista, en un área que aporta quince encuestados (p. 99), con «carencia de competencias digitales» declarada (p. 19) y sin partida que los pague (p. 115). Un solo «Product Owner · Coordinador de la propuesta» para las cuatro células, y «SPRINT · 2 SEMANAS». La reserva R5 también queda visible: la caja de la reunión de seguimiento dice «Alineación diaria» y sólo hay </w:t>
      </w:r>
      <w:r>
        <w:rPr>
          <w:rFonts w:ascii="Calibri" w:hAnsi="Calibri"/>
          <w:b/>
          <w:color w:val="2B2B2B"/>
          <w:sz w:val="22"/>
        </w:rPr>
        <w:t>tres ceremonias</w:t>
      </w:r>
      <w:r>
        <w:rPr>
          <w:rFonts w:ascii="Calibri" w:hAnsi="Calibri"/>
          <w:b w:val="0"/>
          <w:color w:val="2B2B2B"/>
          <w:sz w:val="22"/>
        </w:rPr>
        <w:t xml:space="preserve"> —seguimiento, revisión de avances, retroalimentación y mejora—, contra la frecuencia «Semanal» y las cuatro ceremonias de la Tabla 11 (p. 85). La banda inferior, «Integración entre células y sistemas», encadena </w:t>
      </w:r>
      <w:r>
        <w:rPr>
          <w:rFonts w:ascii="Calibri" w:hAnsi="Calibri"/>
          <w:b/>
          <w:color w:val="2B2B2B"/>
          <w:sz w:val="22"/>
        </w:rPr>
        <w:t>cuatro</w:t>
      </w:r>
      <w:r>
        <w:rPr>
          <w:rFonts w:ascii="Calibri" w:hAnsi="Calibri"/>
          <w:b w:val="0"/>
          <w:color w:val="2B2B2B"/>
          <w:sz w:val="22"/>
        </w:rPr>
        <w:t xml:space="preserve"> módulos: vinculación, nómina, calidad de vida y portal del colaborador —ni QR ni tablero—, mientras la arquitectura de la dp. 14 dibuja seis. Y el backlog de la izquierda lista tipos de ítem —épicos, historias de usuario, tareas, mejoras, incidentes, ideas, dependencias—, no las siete historias de usuario del documento (pp. 84-85), que no se proyectan.</w:t>
      </w:r>
    </w:p>
    <w:p>
      <w:pPr>
        <w:pStyle w:val="ListNumber"/>
      </w:pPr>
      <w:r>
        <w:rPr>
          <w:rFonts w:ascii="Calibri" w:hAnsi="Calibri"/>
          <w:b/>
          <w:color w:val="2B2B2B"/>
          <w:sz w:val="22"/>
        </w:rPr>
        <w:t>La dp. 13 pone el título del segundo objetivo sobre la figura del TO BE.</w:t>
      </w:r>
      <w:r>
        <w:rPr>
          <w:rFonts w:ascii="Calibri" w:hAnsi="Calibri"/>
          <w:b w:val="0"/>
          <w:color w:val="2B2B2B"/>
          <w:sz w:val="22"/>
        </w:rPr>
        <w:t xml:space="preserve"> La diapositiva se titula «Estructuración del modelo de células agiles» y la imagen que proyecta es la Figura 8 del documento —el proceso TO BE (p. 80)—, cuyo rótulo interno dice «Proceso TO BE del ecosistema digital propuesto». Sus tres viñetas son de arquitectura, no de células: automatización del seguimiento, centralización y trazabilidad, e «Integración entre Power Apps, SharePoint, Power Automate y los procesos de Gestión Humana». El modelo de células de verdad viene dos diapositivas después (dp. 15), sin título de objetivo, y la arquitectura viene en la dp. 14, correctamente rotulada. Consecuencia práctica: si exponen en ese orden, el segundo objetivo aparece dos veces y el producto del tercero desfila bajo el nombre del segundo; conviene preguntar cuál de las dos diapositivas es el producto del OE2. Esa viñeta nombra además </w:t>
      </w:r>
      <w:r>
        <w:rPr>
          <w:rFonts w:ascii="Calibri" w:hAnsi="Calibri"/>
          <w:b/>
          <w:color w:val="2B2B2B"/>
          <w:sz w:val="22"/>
        </w:rPr>
        <w:t>tres</w:t>
      </w:r>
      <w:r>
        <w:rPr>
          <w:rFonts w:ascii="Calibri" w:hAnsi="Calibri"/>
          <w:b w:val="0"/>
          <w:color w:val="2B2B2B"/>
          <w:sz w:val="22"/>
        </w:rPr>
        <w:t xml:space="preserve"> tecnologías donde el texto de la p. 81 nombra dos y la banda de la Figura 9 dibuja cinco servicios transversales, que la dp. 14 sí proyecta enteros: es la entrada natural a la reserva R6.</w:t>
      </w:r>
    </w:p>
    <w:p>
      <w:pPr>
        <w:pStyle w:val="ListNumber"/>
      </w:pPr>
      <w:r>
        <w:rPr>
          <w:rFonts w:ascii="Calibri" w:hAnsi="Calibri"/>
          <w:b/>
          <w:color w:val="2B2B2B"/>
          <w:sz w:val="22"/>
        </w:rPr>
        <w:t>Cuatro de las cinco pantallas se proyectan; la que falta es la que aloja la reserva R3.</w:t>
      </w:r>
      <w:r>
        <w:rPr>
          <w:rFonts w:ascii="Calibri" w:hAnsi="Calibri"/>
          <w:b w:val="0"/>
          <w:color w:val="2B2B2B"/>
          <w:sz w:val="22"/>
        </w:rPr>
        <w:t xml:space="preserve"> Llegan la interfaz principal (dp. 16, Figura 11, p. 89), el módulo de vinculaciones (dp. 17, Figura 12), el módulo de seguimiento (dp. 18, Figura 13, p. 90) y la mitad de tarjetas del tablero (dp. 19, Figura 14, p. 91). </w:t>
      </w:r>
      <w:r>
        <w:rPr>
          <w:rFonts w:ascii="Calibri" w:hAnsi="Calibri"/>
          <w:b/>
          <w:color w:val="2B2B2B"/>
          <w:sz w:val="22"/>
        </w:rPr>
        <w:t>No se proyecta</w:t>
      </w:r>
      <w:r>
        <w:rPr>
          <w:rFonts w:ascii="Calibri" w:hAnsi="Calibri"/>
          <w:b w:val="0"/>
          <w:color w:val="2B2B2B"/>
          <w:sz w:val="22"/>
        </w:rPr>
        <w:t xml:space="preserve"> la otra mitad de la p. 91, la de gráficas, que es donde está la torta que reparte un mismo círculo entre 4,3/5, 83,5 % y 1,6 días: la R3 se queda como reserva de documento. Tres detalles de la dp. 16 que se ven desde la sala: los seis accesos son los que dice el §4, punto 6 —y ninguno es QR—, el mismo módulo aparece escrito «Dasboard» en la barra lateral y «Dasbohard» en la tarjeta, y la maqueta saluda a una usuaria de relleno, «Ana Martinez · Auxiliar Operativo», lo que confirma desde la pantalla que es un prototipo. La dp. 18, además, repite palabra por palabra el pie de la dp. 17 («Módulo diseñado para centralizar el seguimiento de las vinculaciones…»), aunque la pantalla que muestra es otra.</w:t>
      </w:r>
    </w:p>
    <w:p>
      <w:pPr>
        <w:pStyle w:val="ListNumber"/>
      </w:pPr>
      <w:r>
        <w:rPr>
          <w:rFonts w:ascii="Calibri" w:hAnsi="Calibri"/>
          <w:b/>
          <w:color w:val="2B2B2B"/>
          <w:sz w:val="22"/>
        </w:rPr>
        <w:t>La dp. 19 proyecta las dos metas invertidas, una meta incumplida sin señalarla y dos rótulos roídos.</w:t>
      </w:r>
      <w:r>
        <w:rPr>
          <w:rFonts w:ascii="Calibri" w:hAnsi="Calibri"/>
          <w:b w:val="0"/>
          <w:color w:val="2B2B2B"/>
          <w:sz w:val="22"/>
        </w:rPr>
        <w:t xml:space="preserve"> Las cinco tarjetas de arriba imprimen «Tiempo promedio 18 dias · meta ≥ 20 dias» y «Tiempo no laborados 2,45% · meta ≥ 3%», cuando la Tabla 14 fija «≤ 20 días» y «≤ 3 %» con sentido esperado </w:t>
      </w:r>
      <w:r>
        <w:rPr>
          <w:rFonts w:ascii="Calibri" w:hAnsi="Calibri"/>
          <w:b/>
          <w:color w:val="2B2B2B"/>
          <w:sz w:val="22"/>
        </w:rPr>
        <w:t>Disminuir</w:t>
      </w:r>
      <w:r>
        <w:rPr>
          <w:rFonts w:ascii="Calibri" w:hAnsi="Calibri"/>
          <w:b w:val="0"/>
          <w:color w:val="2B2B2B"/>
          <w:sz w:val="22"/>
        </w:rPr>
        <w:t xml:space="preserve"> (pp. 93-94): con el signo de la pantalla, tardar más sería cumplir. Es la reserva R1, ahora visible sin abrir el documento. En el bloque de administración del personal, «errores de nomina: 7» se reporta como un dato más, cuando la meta de la Tabla 14 es «≤ 5 errores» (p. 94): el único indicador de la pantalla que incumple su propia meta se imprime sin ninguna marca, en la misma tipografía que los que la cumplen. En calidad de vida, «Indice de clima Organizacional 83$». La primera tarjeta se llama «indice de neto» y va sin meta —es el índice de rotación, que el bloque de vinculaciones imprime como 8,7 %—. Y «vacantes Cubiertas: 85/92» sigue siendo irreconciliable con los contadores de la dp. 17, que suman 149 —25 en registro, 46 en revisión, 15 en proceso, 36 aprobados, 27 finalizados— bajo un pie que dice «Mostrando 150 Registros»: la R2 se puede hacer de una diapositiva a la otra. Se les reconoce lo que importa: el cuadro de texto de la derecha dice «Con datos simulados», y eso desactiva de entrada la sospecha de que el tablero mida algo.</w:t>
      </w:r>
    </w:p>
    <w:p>
      <w:pPr>
        <w:pStyle w:val="ListNumber"/>
      </w:pPr>
      <w:r>
        <w:rPr>
          <w:rFonts w:ascii="Calibri" w:hAnsi="Calibri"/>
          <w:b/>
          <w:color w:val="2B2B2B"/>
          <w:sz w:val="22"/>
        </w:rPr>
        <w:t>La dp. 21 proyecta la primera serie de referencias completa y omite la segunda. No se pregunta en sala.</w:t>
      </w:r>
      <w:r>
        <w:rPr>
          <w:rFonts w:ascii="Calibri" w:hAnsi="Calibri"/>
          <w:b w:val="0"/>
          <w:color w:val="2B2B2B"/>
          <w:sz w:val="22"/>
        </w:rPr>
        <w:t xml:space="preserve"> En una sola diapositiva caben </w:t>
      </w:r>
      <w:r>
        <w:rPr>
          <w:rFonts w:ascii="Calibri" w:hAnsi="Calibri"/>
          <w:b/>
          <w:color w:val="2B2B2B"/>
          <w:sz w:val="22"/>
        </w:rPr>
        <w:t>36 entradas</w:t>
      </w:r>
      <w:r>
        <w:rPr>
          <w:rFonts w:ascii="Calibri" w:hAnsi="Calibri"/>
          <w:b w:val="0"/>
          <w:color w:val="2B2B2B"/>
          <w:sz w:val="22"/>
        </w:rPr>
        <w:t xml:space="preserve"> en cuerpo diminuto, </w:t>
      </w:r>
      <w:r>
        <w:rPr>
          <w:rFonts w:ascii="Calibri" w:hAnsi="Calibri"/>
          <w:b/>
          <w:color w:val="2B2B2B"/>
          <w:sz w:val="22"/>
        </w:rPr>
        <w:t>21 de ellas sin año</w:t>
      </w:r>
      <w:r>
        <w:rPr>
          <w:rFonts w:ascii="Calibri" w:hAnsi="Calibri"/>
          <w:b w:val="0"/>
          <w:color w:val="2B2B2B"/>
          <w:sz w:val="22"/>
        </w:rPr>
        <w:t xml:space="preserve">, que son la serie alfabética de las pp. 107-111 del documento: empieza en «Microsoft Power Apps use cases… | TechTarget» y termina en «What Is Low-Code? | IBM», justo donde el documento cierra su primera serie. Tres consecuencias verificadas. </w:t>
      </w:r>
      <w:r>
        <w:rPr>
          <w:rFonts w:ascii="Calibri" w:hAnsi="Calibri"/>
          <w:b/>
          <w:color w:val="2B2B2B"/>
          <w:sz w:val="22"/>
        </w:rPr>
        <w:t>(a)</w:t>
      </w:r>
      <w:r>
        <w:rPr>
          <w:rFonts w:ascii="Calibri" w:hAnsi="Calibri"/>
          <w:b w:val="0"/>
          <w:color w:val="2B2B2B"/>
          <w:sz w:val="22"/>
        </w:rPr>
        <w:t xml:space="preserve"> Cuatro entradas de la pantalla </w:t>
      </w:r>
      <w:r>
        <w:rPr>
          <w:rFonts w:ascii="Calibri" w:hAnsi="Calibri"/>
          <w:b/>
          <w:color w:val="2B2B2B"/>
          <w:sz w:val="22"/>
        </w:rPr>
        <w:t>no existen en ninguna de las 126 páginas</w:t>
      </w:r>
      <w:r>
        <w:rPr>
          <w:rFonts w:ascii="Calibri" w:hAnsi="Calibri"/>
          <w:b w:val="0"/>
          <w:color w:val="2B2B2B"/>
          <w:sz w:val="22"/>
        </w:rPr>
        <w:t>: el PDF de retail de fundacionorange.es, la entrada «Plataforma digital: Tipos, accesos, usos y utilidades» de un blog comercial, «Program optimization (2025). En Wikipedia» —«Programación modular», la otra de Wikipedia, sí está en la p. 110— y, la más delicada, «Informe-CODDII-Industria-4.0.pdf | Search Results | My Library | Zotero», que es un enlace a la biblioteca personal de una de las autoras (</w:t>
      </w:r>
      <w:r>
        <w:rPr>
          <w:rFonts w:ascii="Consolas" w:hAnsi="Consolas"/>
          <w:color w:val="111111"/>
          <w:sz w:val="21"/>
        </w:rPr>
        <w:t>zotero.org/yuliethp/search/…</w:t>
      </w:r>
      <w:r>
        <w:rPr>
          <w:rFonts w:ascii="Calibri" w:hAnsi="Calibri"/>
          <w:b w:val="0"/>
          <w:color w:val="2B2B2B"/>
          <w:sz w:val="22"/>
        </w:rPr>
        <w:t xml:space="preserve">) y que nadie de fuera puede abrir; el informe CODDII se cita en el texto del documento (p. 37) y allí </w:t>
      </w:r>
      <w:r>
        <w:rPr>
          <w:rFonts w:ascii="Calibri" w:hAnsi="Calibri"/>
          <w:b/>
          <w:color w:val="2B2B2B"/>
          <w:sz w:val="22"/>
        </w:rPr>
        <w:t>no</w:t>
      </w:r>
      <w:r>
        <w:rPr>
          <w:rFonts w:ascii="Calibri" w:hAnsi="Calibri"/>
          <w:b w:val="0"/>
          <w:color w:val="2B2B2B"/>
          <w:sz w:val="22"/>
        </w:rPr>
        <w:t xml:space="preserve"> tiene entrada. </w:t>
      </w:r>
      <w:r>
        <w:rPr>
          <w:rFonts w:ascii="Calibri" w:hAnsi="Calibri"/>
          <w:b/>
          <w:color w:val="2B2B2B"/>
          <w:sz w:val="22"/>
        </w:rPr>
        <w:t>(b)</w:t>
      </w:r>
      <w:r>
        <w:rPr>
          <w:rFonts w:ascii="Calibri" w:hAnsi="Calibri"/>
          <w:b w:val="0"/>
          <w:color w:val="2B2B2B"/>
          <w:sz w:val="22"/>
        </w:rPr>
        <w:t xml:space="preserve"> Seis entradas son de programación en general —dos de Wikipedia, «Introducción a la Programación», «¿Qué Es El Código? | Aicad», «¿Qué es y cuáles son los tipos de programación?» y «Códigos de programación» de INESEM—: cinco de las seis están también en el documento, así que ese ruido sí llega a la sala. </w:t>
      </w:r>
      <w:r>
        <w:rPr>
          <w:rFonts w:ascii="Calibri" w:hAnsi="Calibri"/>
          <w:b/>
          <w:color w:val="2B2B2B"/>
          <w:sz w:val="22"/>
        </w:rPr>
        <w:t>(c)</w:t>
      </w:r>
      <w:r>
        <w:rPr>
          <w:rFonts w:ascii="Calibri" w:hAnsi="Calibri"/>
          <w:b w:val="0"/>
          <w:color w:val="2B2B2B"/>
          <w:sz w:val="22"/>
        </w:rPr>
        <w:t xml:space="preserve"> La segunda serie (pp. 111-112) </w:t>
      </w:r>
      <w:r>
        <w:rPr>
          <w:rFonts w:ascii="Calibri" w:hAnsi="Calibri"/>
          <w:b/>
          <w:color w:val="2B2B2B"/>
          <w:sz w:val="22"/>
        </w:rPr>
        <w:t>no se proyecta</w:t>
      </w:r>
      <w:r>
        <w:rPr>
          <w:rFonts w:ascii="Calibri" w:hAnsi="Calibri"/>
          <w:b w:val="0"/>
          <w:color w:val="2B2B2B"/>
          <w:sz w:val="22"/>
        </w:rPr>
        <w:t xml:space="preserve">, y con ella se quedan fuera de la sala las cuatro entradas más ajenas al proyecto —IEEE 802.15.4, SPSS 27, Rioja 2008 sobre personas sordas y los sistemas participativos de garantía agrarios— y también los duplicados. Efecto colateral: las dos fuentes que el propio mazo cita en las dp. 5 y 6 —Rojas Gallardo y Terrones Avellaneda (2025) y «The Role of Artificial Intelligence in Digital Transformation» (2024)— </w:t>
      </w:r>
      <w:r>
        <w:rPr>
          <w:rFonts w:ascii="Calibri" w:hAnsi="Calibri"/>
          <w:b/>
          <w:color w:val="2B2B2B"/>
          <w:sz w:val="22"/>
        </w:rPr>
        <w:t>no tienen entrada en la lista que el mazo proyecta</w:t>
      </w:r>
      <w:r>
        <w:rPr>
          <w:rFonts w:ascii="Calibri" w:hAnsi="Calibri"/>
          <w:b w:val="0"/>
          <w:color w:val="2B2B2B"/>
          <w:sz w:val="22"/>
        </w:rPr>
        <w:t>, porque viven en esa segunda serie. Crédito honesto: la lista proyectada está bien alfabetizada y sin duplicados (Pérez aparece sólo como 2024a, Páez-Gabriunas una vez), o sea que es más limpia que la del documento. Todo esto es retroalimentación escrita para el metodólogo, no pregunta de sala.</w:t>
      </w:r>
    </w:p>
    <w:p>
      <w:pPr>
        <w:pStyle w:val="ListNumber"/>
      </w:pPr>
      <w:r>
        <w:rPr>
          <w:rFonts w:ascii="Calibri" w:hAnsi="Calibri"/>
          <w:b/>
          <w:color w:val="2B2B2B"/>
          <w:sz w:val="22"/>
        </w:rPr>
        <w:t>La dp. 5 arrastra la cita corrompida del documento.</w:t>
      </w:r>
      <w:r>
        <w:rPr>
          <w:rFonts w:ascii="Calibri" w:hAnsi="Calibri"/>
          <w:b w:val="0"/>
          <w:color w:val="2B2B2B"/>
          <w:sz w:val="22"/>
        </w:rPr>
        <w:t xml:space="preserve"> El párrafo de justificación cierra con «(A. WRojas Gallardo, 2025)», que es exactamente la entrada malformada con la que arranca la segunda serie de referencias en la p. 111. No se pregunta: es la misma errata, no una nueva.</w:t>
      </w:r>
    </w:p>
    <w:p>
      <w:pPr>
        <w:pStyle w:val="ListNumber"/>
      </w:pPr>
      <w:r>
        <w:rPr>
          <w:rFonts w:ascii="Calibri" w:hAnsi="Calibri"/>
          <w:b/>
          <w:color w:val="2B2B2B"/>
          <w:sz w:val="22"/>
        </w:rPr>
        <w:t>Lo que sostiene la nota y no llega a la pantalla.</w:t>
      </w:r>
      <w:r>
        <w:rPr>
          <w:rFonts w:ascii="Calibri" w:hAnsi="Calibri"/>
          <w:b w:val="0"/>
          <w:color w:val="2B2B2B"/>
          <w:sz w:val="22"/>
        </w:rPr>
        <w:t xml:space="preserve"> La </w:t>
      </w:r>
      <w:r>
        <w:rPr>
          <w:rFonts w:ascii="Calibri" w:hAnsi="Calibri"/>
          <w:b/>
          <w:color w:val="2B2B2B"/>
          <w:sz w:val="22"/>
        </w:rPr>
        <w:t>Tabla 14 completa</w:t>
      </w:r>
      <w:r>
        <w:rPr>
          <w:rFonts w:ascii="Calibri" w:hAnsi="Calibri"/>
          <w:b w:val="0"/>
          <w:color w:val="2B2B2B"/>
          <w:sz w:val="22"/>
        </w:rPr>
        <w:t xml:space="preserve"> —dieciséis indicadores con nueve atributos cada uno (pp. 92-97)—, que es la fortaleza nº 5 de la §3 y el mejor activo del trabajo: el mazo muestra la maqueta del tablero, nunca la operacionalización. Tampoco llegan los promedios de la encuesta (pp. 59-67), los valores de la matriz de priorización (pp. 75-76), las siete historias de usuario del backlog (pp. 84-85), la Tabla 15 desagregada (p. 99), el presupuesto de $10.944.230 (p. 115) ni las limitaciones desarrolladas —la dp. 5 las reduce a cinco viñetas de tres palabras frente a las pp. 26-27—. Aquí está el riesgo de nota más concreto de la sesión: </w:t>
      </w:r>
      <w:r>
        <w:rPr>
          <w:rFonts w:ascii="Calibri" w:hAnsi="Calibri"/>
          <w:b/>
          <w:color w:val="2B2B2B"/>
          <w:sz w:val="22"/>
        </w:rPr>
        <w:t>los dos activos que podrían subir el criterio 4 son justamente los que el mazo no proyecta</w:t>
      </w:r>
      <w:r>
        <w:rPr>
          <w:rFonts w:ascii="Calibri" w:hAnsi="Calibri"/>
          <w:b w:val="0"/>
          <w:color w:val="2B2B2B"/>
          <w:sz w:val="22"/>
        </w:rPr>
        <w:t>, así que hay que darles la oportunidad de nombrarlos, y si no lo hacen, preguntarlos.</w:t>
      </w:r>
    </w:p>
    <w:p>
      <w:pPr>
        <w:pStyle w:val="ListNumber"/>
      </w:pPr>
      <w:r>
        <w:rPr>
          <w:rFonts w:ascii="Calibri" w:hAnsi="Calibri"/>
          <w:b/>
          <w:color w:val="2B2B2B"/>
          <w:sz w:val="22"/>
        </w:rPr>
        <w:t>Lo que el mazo hace bien, y hay que reconocerlo en la sala.</w:t>
      </w:r>
      <w:r>
        <w:rPr>
          <w:rFonts w:ascii="Calibri" w:hAnsi="Calibri"/>
          <w:b w:val="0"/>
          <w:color w:val="2B2B2B"/>
          <w:sz w:val="22"/>
        </w:rPr>
        <w:t xml:space="preserve"> La dp. 3 reproduce la pregunta de investigación </w:t>
      </w:r>
      <w:r>
        <w:rPr>
          <w:rFonts w:ascii="Calibri" w:hAnsi="Calibri"/>
          <w:b/>
          <w:color w:val="2B2B2B"/>
          <w:sz w:val="22"/>
        </w:rPr>
        <w:t>palabra por palabra</w:t>
      </w:r>
      <w:r>
        <w:rPr>
          <w:rFonts w:ascii="Calibri" w:hAnsi="Calibri"/>
          <w:b w:val="0"/>
          <w:color w:val="2B2B2B"/>
          <w:sz w:val="22"/>
        </w:rPr>
        <w:t xml:space="preserve"> de la p. 21, y la dp. 4 el objetivo general y los cuatro específicos </w:t>
      </w:r>
      <w:r>
        <w:rPr>
          <w:rFonts w:ascii="Calibri" w:hAnsi="Calibri"/>
          <w:b/>
          <w:color w:val="2B2B2B"/>
          <w:sz w:val="22"/>
        </w:rPr>
        <w:t>palabra por palabra</w:t>
      </w:r>
      <w:r>
        <w:rPr>
          <w:rFonts w:ascii="Calibri" w:hAnsi="Calibri"/>
          <w:b w:val="0"/>
          <w:color w:val="2B2B2B"/>
          <w:sz w:val="22"/>
        </w:rPr>
        <w:t xml:space="preserve"> de la p. 22: no hay título ni pregunta reinventados para la sustentación, que es más de lo que se puede decir de otros mazos del periodo. La dp. 7 declara los 25 participantes como «10 líderes y 15 colaboradores», los mismos números de la p. 45, y </w:t>
      </w:r>
      <w:r>
        <w:rPr>
          <w:rFonts w:ascii="Calibri" w:hAnsi="Calibri"/>
          <w:b/>
          <w:color w:val="2B2B2B"/>
          <w:sz w:val="22"/>
        </w:rPr>
        <w:t>no repite la sobredeclaración del muestreo</w:t>
      </w:r>
      <w:r>
        <w:rPr>
          <w:rFonts w:ascii="Calibri" w:hAnsi="Calibri"/>
          <w:b w:val="0"/>
          <w:color w:val="2B2B2B"/>
          <w:sz w:val="22"/>
        </w:rPr>
        <w:t>: en la pantalla no aparece «estratificado probabilístico», así que ese reparo —el que sostiene el criterio 3 en 2— es del documento y no de la sala. La dp. 11 reproduce la antigüedad exacta de la tabla de la p. 101 (20 · 28 · 24 · 78) con su mismo eje. La dp. 12 proyecta el AS IS completo y legible, con un hallazgo que nombra tres causas y tres efectos, todos del documento: actividades manuales, múltiples canales de comunicación y registros dispersos, que generan reprocesos, pérdida de trazabilidad y mayores tiempos de respuesta (pp. 70, 74, 79). Y la dp. 20 cierra recomendando «Implementar un piloto para validar la propuesta en un entorno real», «Medir el impacto mediante indicadores antes y después de la implementación» y «Fortalecer las competencias digitales del personal de Recursos Humanos»: la tercera recomendación anticipa por su cuenta la objeción de la P1.</w:t>
      </w:r>
    </w:p>
    <w:p>
      <w:r>
        <w:rPr>
          <w:rFonts w:ascii="Calibri" w:hAnsi="Calibri"/>
          <w:b/>
          <w:color w:val="2B2B2B"/>
          <w:sz w:val="22"/>
        </w:rPr>
        <w:t>Forma del mazo (no se pregunta en sala).</w:t>
      </w:r>
      <w:r>
        <w:rPr>
          <w:rFonts w:ascii="Calibri" w:hAnsi="Calibri"/>
          <w:b w:val="0"/>
          <w:color w:val="2B2B2B"/>
          <w:sz w:val="22"/>
        </w:rPr>
        <w:t xml:space="preserve"> Nueve de las veintitrés diapositivas son una imagen a pantalla completa con un cuadro de texto al lado, así que el examen de las dp. 8 y 12 a 19 es un examen de imágenes. La dp. 15 va </w:t>
      </w:r>
      <w:r>
        <w:rPr>
          <w:rFonts w:ascii="Calibri" w:hAnsi="Calibri"/>
          <w:b/>
          <w:color w:val="2B2B2B"/>
          <w:sz w:val="22"/>
        </w:rPr>
        <w:t>estirada un 20 % en horizontal</w:t>
      </w:r>
      <w:r>
        <w:rPr>
          <w:rFonts w:ascii="Calibri" w:hAnsi="Calibri"/>
          <w:b w:val="0"/>
          <w:color w:val="2B2B2B"/>
          <w:sz w:val="22"/>
        </w:rPr>
        <w:t xml:space="preserve"> —la figura nativa mide 1.237 × 908 píxeles, proporción 1,36, y la caja la proyecta a 1,64—, lo que aplasta los rótulos de las cuatro células; la dp. 14 va al contrario, angostada un 5 %. La dp. 21 tiene un «8» huérfano pegado al título «Referencias bibliográficas», resto de la numeración de bloques que usan las dp. 6, 9 y 20. Las dp. 9 y 10 traen cada bloque de texto duplicado en el PDF (sombra o caja repetida), que en pantalla se ve como texto engrosado. Faltan tildes en varios títulos —«células agiles» en las dp. 13 y 15, «Metodologías Agiles» en la dp. 10, «Transformacion Digital» y «Satisfaccion» en la dp. 19—, y las dos últimas diapositivas son los divisores de plantilla sin editar («Preguntas», «Gracias»).</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En la dp. 7, la composición de la muestra</w:t>
      </w:r>
      <w:r>
        <w:rPr>
          <w:rFonts w:ascii="Calibri" w:hAnsi="Calibri"/>
          <w:b w:val="0"/>
          <w:color w:val="2B2B2B"/>
          <w:sz w:val="22"/>
        </w:rPr>
        <w:t>, y en la dp. 11 la torta: si dicen «20 de Recursos Humanos» en una y proyectan «10 %» en la otra, es la R10 y se hace de inmediato.</w:t>
      </w:r>
    </w:p>
    <w:p>
      <w:pPr>
        <w:pStyle w:val="ListBullet"/>
      </w:pPr>
      <w:r>
        <w:rPr>
          <w:rFonts w:ascii="Calibri" w:hAnsi="Calibri"/>
          <w:b/>
          <w:color w:val="2B2B2B"/>
          <w:sz w:val="22"/>
        </w:rPr>
        <w:t>En la dp. 8, el entregable de la fase 1 y el verbo de la fase 2.</w:t>
      </w:r>
      <w:r>
        <w:rPr>
          <w:rFonts w:ascii="Calibri" w:hAnsi="Calibri"/>
          <w:b w:val="0"/>
          <w:color w:val="2B2B2B"/>
          <w:sz w:val="22"/>
        </w:rPr>
        <w:t xml:space="preserve"> Si exponen esa ruta —fase 2 sólo el modelo de células, arquitectura en la fase 3— hay que anotar que no es la de las pp. 47-48 (reserva R11).</w:t>
      </w:r>
    </w:p>
    <w:p>
      <w:pPr>
        <w:pStyle w:val="ListBullet"/>
      </w:pPr>
      <w:r>
        <w:rPr>
          <w:rFonts w:ascii="Calibri" w:hAnsi="Calibri"/>
          <w:b/>
          <w:color w:val="2B2B2B"/>
          <w:sz w:val="22"/>
        </w:rPr>
        <w:t>En la dp. 11, si el gráfico de priorización lleva cifras.</w:t>
      </w:r>
      <w:r>
        <w:rPr>
          <w:rFonts w:ascii="Calibri" w:hAnsi="Calibri"/>
          <w:b w:val="0"/>
          <w:color w:val="2B2B2B"/>
          <w:sz w:val="22"/>
        </w:rPr>
        <w:t xml:space="preserve"> No las lleva; queda abierta la pregunta de por qué vinculaciones y no gestión documental.</w:t>
      </w:r>
    </w:p>
    <w:p>
      <w:pPr>
        <w:pStyle w:val="ListBullet"/>
      </w:pPr>
      <w:r>
        <w:rPr>
          <w:rFonts w:ascii="Calibri" w:hAnsi="Calibri"/>
          <w:b/>
          <w:color w:val="2B2B2B"/>
          <w:sz w:val="22"/>
        </w:rPr>
        <w:t>En la dp. 15, cuántas personas por célula y si alguien nombra al especialista low-code.</w:t>
      </w:r>
      <w:r>
        <w:rPr>
          <w:rFonts w:ascii="Calibri" w:hAnsi="Calibri"/>
          <w:b w:val="0"/>
          <w:color w:val="2B2B2B"/>
          <w:sz w:val="22"/>
        </w:rPr>
        <w:t xml:space="preserve"> Es la P1 servida en pantalla.</w:t>
      </w:r>
    </w:p>
    <w:p>
      <w:pPr>
        <w:pStyle w:val="ListBullet"/>
      </w:pPr>
      <w:r>
        <w:rPr>
          <w:rFonts w:ascii="Calibri" w:hAnsi="Calibri"/>
          <w:b/>
          <w:color w:val="2B2B2B"/>
          <w:sz w:val="22"/>
        </w:rPr>
        <w:t>En la dp. 15, si dicen «Alineación diaria».</w:t>
      </w:r>
      <w:r>
        <w:rPr>
          <w:rFonts w:ascii="Calibri" w:hAnsi="Calibri"/>
          <w:b w:val="0"/>
          <w:color w:val="2B2B2B"/>
          <w:sz w:val="22"/>
        </w:rPr>
        <w:t xml:space="preserve"> Contrastar con el «Semanal» de la Tabla 11 (reserva R5).</w:t>
      </w:r>
    </w:p>
    <w:p>
      <w:pPr>
        <w:pStyle w:val="ListBullet"/>
      </w:pPr>
      <w:r>
        <w:rPr>
          <w:rFonts w:ascii="Calibri" w:hAnsi="Calibri"/>
          <w:b/>
          <w:color w:val="2B2B2B"/>
          <w:sz w:val="22"/>
        </w:rPr>
        <w:t>En la dp. 13, si presentan el TO BE como si fuera el modelo de células.</w:t>
      </w:r>
      <w:r>
        <w:rPr>
          <w:rFonts w:ascii="Calibri" w:hAnsi="Calibri"/>
          <w:b w:val="0"/>
          <w:color w:val="2B2B2B"/>
          <w:sz w:val="22"/>
        </w:rPr>
        <w:t xml:space="preserve"> Preguntar cuál diapositiva es el producto del segundo objetivo.</w:t>
      </w:r>
    </w:p>
    <w:p>
      <w:pPr>
        <w:pStyle w:val="ListBullet"/>
      </w:pPr>
      <w:r>
        <w:rPr>
          <w:rFonts w:ascii="Calibri" w:hAnsi="Calibri"/>
          <w:b/>
          <w:color w:val="2B2B2B"/>
          <w:sz w:val="22"/>
        </w:rPr>
        <w:t>En la dp. 19, si leen «18 dias» o «2,45 %» como logro</w:t>
      </w:r>
      <w:r>
        <w:rPr>
          <w:rFonts w:ascii="Calibri" w:hAnsi="Calibri"/>
          <w:b w:val="0"/>
          <w:color w:val="2B2B2B"/>
          <w:sz w:val="22"/>
        </w:rPr>
        <w:t xml:space="preserve"> —y si dicen «meta ≥ 20 días» en voz alta—. Es la R1 y, si sostienen que el tablero mide, la P2 en versión dura.</w:t>
      </w:r>
    </w:p>
    <w:p>
      <w:pPr>
        <w:pStyle w:val="ListBullet"/>
      </w:pPr>
      <w:r>
        <w:rPr>
          <w:rFonts w:ascii="Calibri" w:hAnsi="Calibri"/>
          <w:b/>
          <w:color w:val="2B2B2B"/>
          <w:sz w:val="22"/>
        </w:rPr>
        <w:t>En la dp. 19, si dicen en voz alta que los datos son simulados.</w:t>
      </w:r>
      <w:r>
        <w:rPr>
          <w:rFonts w:ascii="Calibri" w:hAnsi="Calibri"/>
          <w:b w:val="0"/>
          <w:color w:val="2B2B2B"/>
          <w:sz w:val="22"/>
        </w:rPr>
        <w:t xml:space="preserve"> El rótulo está en la diapositiva; si lo dicen ellas primero, se les reconoce y no se pregunta nada del tablero.</w:t>
      </w:r>
    </w:p>
    <w:p>
      <w:pPr>
        <w:pStyle w:val="ListBullet"/>
      </w:pPr>
      <w:r>
        <w:rPr>
          <w:rFonts w:ascii="Calibri" w:hAnsi="Calibri"/>
          <w:b/>
          <w:color w:val="2B2B2B"/>
          <w:sz w:val="22"/>
        </w:rPr>
        <w:t>Si en toda la exposición no aparece la Tabla 14 ni un promedio de la encuesta</w:t>
      </w:r>
      <w:r>
        <w:rPr>
          <w:rFonts w:ascii="Calibri" w:hAnsi="Calibri"/>
          <w:b w:val="0"/>
          <w:color w:val="2B2B2B"/>
          <w:sz w:val="22"/>
        </w:rPr>
        <w:t>, darles la oportunidad al final: es su mejor activo y lo dejaron fuera del mazo.</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Los cuatro especialistas low-code de las células: ¿cargo o supuesto?</w:t>
      </w:r>
    </w:p>
    <w:p>
      <w:pPr>
        <w:ind w:left="432"/>
        <w:shd w:val="clear" w:fill="E8F5EC"/>
      </w:pPr>
      <w:r>
        <w:rPr>
          <w:rFonts w:ascii="Calibri" w:hAnsi="Calibri"/>
          <w:b w:val="0"/>
          <w:i/>
          <w:color w:val="2B2B2B"/>
          <w:sz w:val="21"/>
        </w:rPr>
        <w:t>«La fase 2 programa la conformación de cuatro células ágiles de cinco a siete miembros (p. 48), y el modelo pone en cada célula un especialista en herramientas low-code (pp. 82-83). Pero la p. 19 diagnostica carencia de competencias digitales en el área, la Tabla 15 registra quince personas de Recursos Humanos (p. 99) y el presupuesto solo paga dos estudiantes y el asesor (p. 115). ¿Qué cargo ocupa hoy cada uno de esos cuatro especialistas, o quedó como supuesto del diseño?»</w:t>
      </w:r>
    </w:p>
    <w:p>
      <w:pPr>
        <w:pStyle w:val="ListBullet"/>
      </w:pPr>
      <w:r>
        <w:rPr>
          <w:rFonts w:ascii="Calibri" w:hAnsi="Calibri"/>
          <w:b/>
          <w:color w:val="2B2B2B"/>
          <w:sz w:val="22"/>
        </w:rPr>
        <w:t>Sale de:</w:t>
      </w:r>
      <w:r>
        <w:rPr>
          <w:rFonts w:ascii="Calibri" w:hAnsi="Calibri"/>
          <w:b w:val="0"/>
          <w:color w:val="2B2B2B"/>
          <w:sz w:val="22"/>
        </w:rPr>
        <w:t xml:space="preserve"> del documento el reparo —la p. 48 contra las pp. 82, 88, 92 y 104— y de las diapositivas la aritmética: la dp. 15 proyecta las cuatro células con cinco roles cada una y un «Especialista en herramientas low-code» en las cuatro (§5, punto 5). Pero </w:t>
      </w:r>
      <w:r>
        <w:rPr>
          <w:rFonts w:ascii="Calibri" w:hAnsi="Calibri"/>
          <w:b/>
          <w:color w:val="2B2B2B"/>
          <w:sz w:val="22"/>
        </w:rPr>
        <w:t>la dp. 8 ya contesta en dirección a «fue diseño»</w:t>
      </w:r>
      <w:r>
        <w:rPr>
          <w:rFonts w:ascii="Calibri" w:hAnsi="Calibri"/>
          <w:b w:val="0"/>
          <w:color w:val="2B2B2B"/>
          <w:sz w:val="22"/>
        </w:rPr>
        <w:t xml:space="preserve">, porque cambia «Conformación» por «Definición de las cuatro células ágiles» (§5, punto 1). Así que se hace </w:t>
      </w:r>
      <w:r>
        <w:rPr>
          <w:rFonts w:ascii="Calibri" w:hAnsi="Calibri"/>
          <w:b/>
          <w:color w:val="2B2B2B"/>
          <w:sz w:val="22"/>
        </w:rPr>
        <w:t>con la p. 48 a la vista</w:t>
      </w:r>
      <w:r>
        <w:rPr>
          <w:rFonts w:ascii="Calibri" w:hAnsi="Calibri"/>
          <w:b w:val="0"/>
          <w:color w:val="2B2B2B"/>
          <w:sz w:val="22"/>
        </w:rPr>
        <w:t>, no señalando la pantalla, y si exponen la ruta de la dp. 8 la pregunta se reformula: cuál de las dos versiones es la del proyecto.</w:t>
      </w:r>
    </w:p>
    <w:p>
      <w:pPr>
        <w:pStyle w:val="ListBullet"/>
      </w:pPr>
      <w:r>
        <w:rPr>
          <w:rFonts w:ascii="Calibri" w:hAnsi="Calibri"/>
          <w:b/>
          <w:color w:val="2B2B2B"/>
          <w:sz w:val="22"/>
        </w:rPr>
        <w:t>Por qué se pregunta:</w:t>
      </w:r>
      <w:r>
        <w:rPr>
          <w:rFonts w:ascii="Calibri" w:hAnsi="Calibri"/>
          <w:b w:val="0"/>
          <w:color w:val="2B2B2B"/>
          <w:sz w:val="22"/>
        </w:rPr>
        <w:t xml:space="preserve"> es la versión con datos de la pregunta por la frontera entre diseño y propuesta implementable, que es donde el trabajo tiene su techo declarado (pp. 103-104). La actividad compromete entre veinte y veintiocho personas y cuatro perfiles low-code —rol definido en la Tabla 8 (p. 83) y dibujado en las cuatro células de la Figura 10 (p. 82)— en un área que aporta quince de los ciento cincuenta encuestados (p. 99) y a la que el propio diagnóstico atribuye carencia de competencias digitales (p. 19), sin ninguna partida para contratarlos ni formarlos (p. 115). Pide un artefacto —un cargo, un área o una partida—, no un relato.</w:t>
      </w:r>
    </w:p>
    <w:p>
      <w:pPr>
        <w:pStyle w:val="ListBullet"/>
      </w:pPr>
      <w:r>
        <w:rPr>
          <w:rFonts w:ascii="Calibri" w:hAnsi="Calibri"/>
          <w:b/>
          <w:color w:val="2B2B2B"/>
          <w:sz w:val="22"/>
        </w:rPr>
        <w:t>Qué la resuelve:</w:t>
      </w:r>
      <w:r>
        <w:rPr>
          <w:rFonts w:ascii="Calibri" w:hAnsi="Calibri"/>
          <w:b w:val="0"/>
          <w:color w:val="2B2B2B"/>
          <w:sz w:val="22"/>
        </w:rPr>
        <w:t xml:space="preserve"> que nombren cargo y área de los cuatro perfiles previstos, o la partida que los paga, o el acuerdo con el área de tecnología de la empresa; </w:t>
      </w:r>
      <w:r>
        <w:rPr>
          <w:rFonts w:ascii="Calibri" w:hAnsi="Calibri"/>
          <w:b/>
          <w:color w:val="2B2B2B"/>
          <w:sz w:val="22"/>
        </w:rPr>
        <w:t>o</w:t>
      </w:r>
      <w:r>
        <w:rPr>
          <w:rFonts w:ascii="Calibri" w:hAnsi="Calibri"/>
          <w:b w:val="0"/>
          <w:color w:val="2B2B2B"/>
          <w:sz w:val="22"/>
        </w:rPr>
        <w:t xml:space="preserve"> que digan sin rodeos que la conformación de las células es un supuesto del diseño, pendiente de la implementación piloto que anuncian las pp. 78 y 104, e indiquen quién tendría que financiar la formación advertida en las pp. 26-27.</w:t>
      </w:r>
    </w:p>
    <w:p>
      <w:pPr>
        <w:pStyle w:val="ListBullet"/>
      </w:pPr>
      <w:r>
        <w:rPr>
          <w:rFonts w:ascii="Calibri" w:hAnsi="Calibri"/>
          <w:b/>
          <w:color w:val="2B2B2B"/>
          <w:sz w:val="22"/>
        </w:rPr>
        <w:t>Qué la agrava:</w:t>
      </w:r>
      <w:r>
        <w:rPr>
          <w:rFonts w:ascii="Calibri" w:hAnsi="Calibri"/>
          <w:b w:val="0"/>
          <w:color w:val="2B2B2B"/>
          <w:sz w:val="22"/>
        </w:rPr>
        <w:t xml:space="preserve"> afirmar que las células ya están operando, porque el documento no reporta ninguna y remite el modelo a una implementación futura en cuatro lugares del cuerpo de la propuesta (pp. 82, 88, 92, 104), y a una implementación piloto en otros tres (pp. 78, 97, 104); decir que el papel de especialista low-code lo cubre el propio equipo, cuando el presupuesto solo paga a dos estudiantes (p. 115); e ignorar el calendario, porque la fase 2 está fechada mayo-junio 2026 (p. 47) y estamos en agosto de 2026 sin un solo dato de conformación. Si además se contradicen en la cadencia —«Alineación diaria» en la Figura 10 (p. 82) frente a «Semanal» en la Tabla 11 (p. 85)—, queda a la vista que el modelo ágil no se domina.</w:t>
      </w:r>
    </w:p>
    <w:p>
      <w:r>
        <w:rPr>
          <w:rFonts w:ascii="Calibri" w:hAnsi="Calibri"/>
          <w:b/>
          <w:color w:val="2B2B2B"/>
          <w:sz w:val="22"/>
        </w:rPr>
        <w:t>2. La línea base de los dieciséis indicadores: un número, no una etiqueta.</w:t>
      </w:r>
    </w:p>
    <w:p>
      <w:pPr>
        <w:ind w:left="432"/>
        <w:shd w:val="clear" w:fill="E8F5EC"/>
      </w:pPr>
      <w:r>
        <w:rPr>
          <w:rFonts w:ascii="Calibri" w:hAnsi="Calibri"/>
          <w:b w:val="0"/>
          <w:i/>
          <w:color w:val="2B2B2B"/>
          <w:sz w:val="21"/>
        </w:rPr>
        <w:t>«La fase 1 tenía como entregable un informe de línea base (p. 47), y las páginas 58, 98 y 103 afirman que los resultados constituyeron esa línea base. Pero la columna Línea base de la Tabla 14 dice Diagnóstico inicial en los dieciséis indicadores, sin un solo número (pp. 93-97). Denme el valor de línea base de un indicador, el que quieran, y de dónde sale. Si no se midió, dígannoslo con esas palabras.»</w:t>
      </w:r>
    </w:p>
    <w:p>
      <w:pPr>
        <w:pStyle w:val="ListBullet"/>
      </w:pPr>
      <w:r>
        <w:rPr>
          <w:rFonts w:ascii="Calibri" w:hAnsi="Calibri"/>
          <w:b/>
          <w:color w:val="2B2B2B"/>
          <w:sz w:val="22"/>
        </w:rPr>
        <w:t>Sale de:</w:t>
      </w:r>
      <w:r>
        <w:rPr>
          <w:rFonts w:ascii="Calibri" w:hAnsi="Calibri"/>
          <w:b w:val="0"/>
          <w:color w:val="2B2B2B"/>
          <w:sz w:val="22"/>
        </w:rPr>
        <w:t xml:space="preserve"> el documento, entera —la p. 47 y la Tabla 14 de las pp. 93-97—. El mazo la refuerza sin proponérselo: la dp. 8 borra «Informe de línea base» del entregable de la fase 1 y la dp. 19 proyecta el tablero sin una sola línea base (§5, puntos 1 y 8). Se hace </w:t>
      </w:r>
      <w:r>
        <w:rPr>
          <w:rFonts w:ascii="Calibri" w:hAnsi="Calibri"/>
          <w:b/>
          <w:color w:val="2B2B2B"/>
          <w:sz w:val="22"/>
        </w:rPr>
        <w:t>con el documento en la mano</w:t>
      </w:r>
      <w:r>
        <w:rPr>
          <w:rFonts w:ascii="Calibri" w:hAnsi="Calibri"/>
          <w:b w:val="0"/>
          <w:color w:val="2B2B2B"/>
          <w:sz w:val="22"/>
        </w:rPr>
        <w:t>, abierto en la p. 47 y en la Tabla 14; la pantalla sirve para el remate, no para el planteamiento.</w:t>
      </w:r>
    </w:p>
    <w:p>
      <w:pPr>
        <w:pStyle w:val="ListBullet"/>
      </w:pPr>
      <w:r>
        <w:rPr>
          <w:rFonts w:ascii="Calibri" w:hAnsi="Calibri"/>
          <w:b/>
          <w:color w:val="2B2B2B"/>
          <w:sz w:val="22"/>
        </w:rPr>
        <w:t>Por qué se pregunta:</w:t>
      </w:r>
      <w:r>
        <w:rPr>
          <w:rFonts w:ascii="Calibri" w:hAnsi="Calibri"/>
          <w:b w:val="0"/>
          <w:color w:val="2B2B2B"/>
          <w:sz w:val="22"/>
        </w:rPr>
        <w:t xml:space="preserve"> no señala un dato faltante sino un </w:t>
      </w:r>
      <w:r>
        <w:rPr>
          <w:rFonts w:ascii="Calibri" w:hAnsi="Calibri"/>
          <w:b/>
          <w:color w:val="2B2B2B"/>
          <w:sz w:val="22"/>
        </w:rPr>
        <w:t>entregable prometido por el propio cronograma</w:t>
      </w:r>
      <w:r>
        <w:rPr>
          <w:rFonts w:ascii="Calibri" w:hAnsi="Calibri"/>
          <w:b w:val="0"/>
          <w:color w:val="2B2B2B"/>
          <w:sz w:val="22"/>
        </w:rPr>
        <w:t xml:space="preserve"> (p. 47) y declarado cumplido tres veces más (pp. 58, 98, 103). Sin línea base ninguna de las metas numéricas de la Tabla 14 (≥ 95 %, ≤ 20 días, ≤ 10 %, ≤ 3 %) es medible y el tablero del cuarto objetivo no puede mostrar avance. El diagnóstico solo produjo promedios Likert (pp. 59-67) y porcentajes de categorías (pp. 73-74), y el informe no está entre los anexos: «línea base» aparece en seis páginas de las 126 —como entregable declarado o cumplido en las pp. 47, 58, 98 y 103, y como nombre del atributo y encabezado de columna de la Tabla 14 en las pp. 92-93— y en ninguna de las pp. 113-126.</w:t>
      </w:r>
    </w:p>
    <w:p>
      <w:pPr>
        <w:pStyle w:val="ListBullet"/>
      </w:pPr>
      <w:r>
        <w:rPr>
          <w:rFonts w:ascii="Calibri" w:hAnsi="Calibri"/>
          <w:b/>
          <w:color w:val="2B2B2B"/>
          <w:sz w:val="22"/>
        </w:rPr>
        <w:t>Qué la resuelve:</w:t>
      </w:r>
      <w:r>
        <w:rPr>
          <w:rFonts w:ascii="Calibri" w:hAnsi="Calibri"/>
          <w:b w:val="0"/>
          <w:color w:val="2B2B2B"/>
          <w:sz w:val="22"/>
        </w:rPr>
        <w:t xml:space="preserve"> que den un valor concreto de un indicador —días promedio actuales de cubrimiento de vacante, porcentaje de expedientes completos— </w:t>
      </w:r>
      <w:r>
        <w:rPr>
          <w:rFonts w:ascii="Calibri" w:hAnsi="Calibri"/>
          <w:b/>
          <w:color w:val="2B2B2B"/>
          <w:sz w:val="22"/>
        </w:rPr>
        <w:t>diciendo de dónde salió</w:t>
      </w:r>
      <w:r>
        <w:rPr>
          <w:rFonts w:ascii="Calibri" w:hAnsi="Calibri"/>
          <w:b w:val="0"/>
          <w:color w:val="2B2B2B"/>
          <w:sz w:val="22"/>
        </w:rPr>
        <w:t xml:space="preserve">; o que digan que el informe de línea base existe, que no se anexó y que puede remitirse; </w:t>
      </w:r>
      <w:r>
        <w:rPr>
          <w:rFonts w:ascii="Calibri" w:hAnsi="Calibri"/>
          <w:b/>
          <w:color w:val="2B2B2B"/>
          <w:sz w:val="22"/>
        </w:rPr>
        <w:t>o</w:t>
      </w:r>
      <w:r>
        <w:rPr>
          <w:rFonts w:ascii="Calibri" w:hAnsi="Calibri"/>
          <w:b w:val="0"/>
          <w:color w:val="2B2B2B"/>
          <w:sz w:val="22"/>
        </w:rPr>
        <w:t xml:space="preserve"> que reconozcan con esas palabras que no se midió y que la fase 1 no cerró ese entregable, apoyándose en lo que el propio trabajo dice en las pp. 78 y 104 sobre verificar mediante implementación piloto.</w:t>
      </w:r>
    </w:p>
    <w:p>
      <w:pPr>
        <w:pStyle w:val="ListBullet"/>
      </w:pPr>
      <w:r>
        <w:rPr>
          <w:rFonts w:ascii="Calibri" w:hAnsi="Calibri"/>
          <w:b/>
          <w:color w:val="2B2B2B"/>
          <w:sz w:val="22"/>
        </w:rPr>
        <w:t>Qué la agrava:</w:t>
      </w:r>
      <w:r>
        <w:rPr>
          <w:rFonts w:ascii="Calibri" w:hAnsi="Calibri"/>
          <w:b w:val="0"/>
          <w:color w:val="2B2B2B"/>
          <w:sz w:val="22"/>
        </w:rPr>
        <w:t xml:space="preserve"> sostener que los promedios Likert (3,2/5 en eficiencia, 2,85 en acceso a la información) son la línea base de los dieciséis indicadores, cuando ninguna de las dieciséis fórmulas es una escala Likert; </w:t>
      </w:r>
      <w:r>
        <w:rPr>
          <w:rFonts w:ascii="Calibri" w:hAnsi="Calibri"/>
          <w:b/>
          <w:color w:val="2B2B2B"/>
          <w:sz w:val="22"/>
        </w:rPr>
        <w:t>leer un número de las tarjetas del tablero</w:t>
      </w:r>
      <w:r>
        <w:rPr>
          <w:rFonts w:ascii="Calibri" w:hAnsi="Calibri"/>
          <w:b w:val="0"/>
          <w:color w:val="2B2B2B"/>
          <w:sz w:val="22"/>
        </w:rPr>
        <w:t xml:space="preserve"> («18 días», «2,45 %», p. 91), que el propio documento declara ilustrativo y ajeno a una implementación operativa (p. 97); afirmar que el informe está en los anexos (pp. 113-126 no lo traen); ofrecer como línea base el 70 % de procesos manuales (p. 45) o la rotación superior al 30 % (p. 24), ambos sin fuente; e insistir en que los resultados constituyeron la línea base sin poder nombrar un solo número.</w:t>
      </w:r>
    </w:p>
    <w:p>
      <w:r>
        <w:rPr>
          <w:rFonts w:ascii="Calibri" w:hAnsi="Calibri"/>
          <w:b/>
          <w:color w:val="2B2B2B"/>
          <w:sz w:val="22"/>
        </w:rPr>
        <w:t>3. Con qué documento se aplicaron los instrumentos a 175 personas.</w:t>
      </w:r>
    </w:p>
    <w:p>
      <w:pPr>
        <w:ind w:left="432"/>
        <w:shd w:val="clear" w:fill="E8F5EC"/>
      </w:pPr>
      <w:r>
        <w:rPr>
          <w:rFonts w:ascii="Calibri" w:hAnsi="Calibri"/>
          <w:b w:val="0"/>
          <w:i/>
          <w:color w:val="2B2B2B"/>
          <w:sz w:val="21"/>
        </w:rPr>
        <w:t>«El estudio aplicó 150 encuestas y 25 entrevistas en la empresa (p. 45). Busqué en las 126 páginas las palabras consentimiento, ética, anonimato y habeas: ningún resultado, y entre los anexos no hay carta de autorización de la empresa (pp. 113-126). Díganme qué documento autorizó aplicar los instrumentos a esos 175 participantes y quién lo firmó. Si no hubo ninguno, dígannoslo con esas palabras.»</w:t>
      </w:r>
    </w:p>
    <w:p>
      <w:pPr>
        <w:pStyle w:val="ListBullet"/>
      </w:pPr>
      <w:r>
        <w:rPr>
          <w:rFonts w:ascii="Calibri" w:hAnsi="Calibri"/>
          <w:b/>
          <w:color w:val="2B2B2B"/>
          <w:sz w:val="22"/>
        </w:rPr>
        <w:t>Sale de:</w:t>
      </w:r>
      <w:r>
        <w:rPr>
          <w:rFonts w:ascii="Calibri" w:hAnsi="Calibri"/>
          <w:b w:val="0"/>
          <w:color w:val="2B2B2B"/>
          <w:sz w:val="22"/>
        </w:rPr>
        <w:t xml:space="preserve"> el documento y de una ausencia que el mazo repite: en las 23 diapositivas no aparecen las palabras consentimiento, ética, anonimato, autorización, aval ni confidencialidad, y la dp. 9 vuelve a hablar de validación por juicio de expertos sin decir cuántos. La pantalla no aporta ni quita nada aquí: se hace con el documento y con la lista de los cinco anexos (pp. 113-126).</w:t>
      </w:r>
    </w:p>
    <w:p>
      <w:pPr>
        <w:pStyle w:val="ListBullet"/>
      </w:pPr>
      <w:r>
        <w:rPr>
          <w:rFonts w:ascii="Calibri" w:hAnsi="Calibri"/>
          <w:b/>
          <w:color w:val="2B2B2B"/>
          <w:sz w:val="22"/>
        </w:rPr>
        <w:t>Por qué se pregunta:</w:t>
      </w:r>
      <w:r>
        <w:rPr>
          <w:rFonts w:ascii="Calibri" w:hAnsi="Calibri"/>
          <w:b w:val="0"/>
          <w:color w:val="2B2B2B"/>
          <w:sz w:val="22"/>
        </w:rPr>
        <w:t xml:space="preserve"> es el único hueco del trabajo que no es de forma ni de alcance, sino de condición para haber hecho el campo, y es el que sostiene el criterio 3 del formulario en 2. La búsqueda es exacta: «consentimiento», «ética», «anonimato», «habeas», «autorización», «aval» y «carta» dan </w:t>
      </w:r>
      <w:r>
        <w:rPr>
          <w:rFonts w:ascii="Calibri" w:hAnsi="Calibri"/>
          <w:b/>
          <w:color w:val="2B2B2B"/>
          <w:sz w:val="22"/>
        </w:rPr>
        <w:t>cero resultados</w:t>
      </w:r>
      <w:r>
        <w:rPr>
          <w:rFonts w:ascii="Calibri" w:hAnsi="Calibri"/>
          <w:b w:val="0"/>
          <w:color w:val="2B2B2B"/>
          <w:sz w:val="22"/>
        </w:rPr>
        <w:t xml:space="preserve"> en las 126 páginas; «confidencial» aparece una sola vez (p. 26) y referido al acceso restringido del equipo a los datos de la empresa, no a la protección de los participantes. Los cinco anexos son cronograma (p. 113), presupuesto (p. 115), encuesta (p. 116), guía de entrevista (p. 123) y validación (p. 125): ninguno es una autorización. Pide </w:t>
      </w:r>
      <w:r>
        <w:rPr>
          <w:rFonts w:ascii="Calibri" w:hAnsi="Calibri"/>
          <w:b/>
          <w:color w:val="2B2B2B"/>
          <w:sz w:val="22"/>
        </w:rPr>
        <w:t>un documento</w:t>
      </w:r>
      <w:r>
        <w:rPr>
          <w:rFonts w:ascii="Calibri" w:hAnsi="Calibri"/>
          <w:b w:val="0"/>
          <w:color w:val="2B2B2B"/>
          <w:sz w:val="22"/>
        </w:rPr>
        <w:t>, y cualquier respuesta —incluida la negativa— es el hallazgo.</w:t>
      </w:r>
    </w:p>
    <w:p>
      <w:pPr>
        <w:pStyle w:val="ListBullet"/>
      </w:pPr>
      <w:r>
        <w:rPr>
          <w:rFonts w:ascii="Calibri" w:hAnsi="Calibri"/>
          <w:b/>
          <w:color w:val="2B2B2B"/>
          <w:sz w:val="22"/>
        </w:rPr>
        <w:t>Qué la resuelve:</w:t>
      </w:r>
      <w:r>
        <w:rPr>
          <w:rFonts w:ascii="Calibri" w:hAnsi="Calibri"/>
          <w:b w:val="0"/>
          <w:color w:val="2B2B2B"/>
          <w:sz w:val="22"/>
        </w:rPr>
        <w:t xml:space="preserve"> nombrar el documento y quién lo firmó (aval del área de Gestión Humana, acuerdo con la dirección, formato de consentimiento en el encabezado del Google Forms de la p. 116), y ofrecer remitirlo; </w:t>
      </w:r>
      <w:r>
        <w:rPr>
          <w:rFonts w:ascii="Calibri" w:hAnsi="Calibri"/>
          <w:b/>
          <w:color w:val="2B2B2B"/>
          <w:sz w:val="22"/>
        </w:rPr>
        <w:t>o</w:t>
      </w:r>
      <w:r>
        <w:rPr>
          <w:rFonts w:ascii="Calibri" w:hAnsi="Calibri"/>
          <w:b w:val="0"/>
          <w:color w:val="2B2B2B"/>
          <w:sz w:val="22"/>
        </w:rPr>
        <w:t xml:space="preserve"> decir con esas palabras que no hubo formato escrito, que la autorización fue verbal y de quién, y reconocer que debía quedar como anexo.</w:t>
      </w:r>
    </w:p>
    <w:p>
      <w:pPr>
        <w:pStyle w:val="ListBullet"/>
      </w:pPr>
      <w:r>
        <w:rPr>
          <w:rFonts w:ascii="Calibri" w:hAnsi="Calibri"/>
          <w:b/>
          <w:color w:val="2B2B2B"/>
          <w:sz w:val="22"/>
        </w:rPr>
        <w:t>Qué la agrava:</w:t>
      </w:r>
      <w:r>
        <w:rPr>
          <w:rFonts w:ascii="Calibri" w:hAnsi="Calibri"/>
          <w:b w:val="0"/>
          <w:color w:val="2B2B2B"/>
          <w:sz w:val="22"/>
        </w:rPr>
        <w:t xml:space="preserve"> invocar la confidencialidad de la empresa como si eso reemplazara la autorización, cuando el documento tampoco declara que el anonimato de la organización sea deliberado (p. 45); afirmar que el consentimiento «estaba en la encuesta» sin poder señalar dónde (las pp. 117-122 son imágenes y el enlace de la p. 116 es un Google Forms en modo </w:t>
      </w:r>
      <w:r>
        <w:rPr>
          <w:rFonts w:ascii="Consolas" w:hAnsi="Consolas"/>
          <w:color w:val="111111"/>
          <w:sz w:val="21"/>
        </w:rPr>
        <w:t>preview</w:t>
      </w:r>
      <w:r>
        <w:rPr>
          <w:rFonts w:ascii="Calibri" w:hAnsi="Calibri"/>
          <w:b w:val="0"/>
          <w:color w:val="2B2B2B"/>
          <w:sz w:val="22"/>
        </w:rPr>
        <w:t>); o convertirlo en un asunto de la Dirección. No se les pide una norma: se les pide un papel.</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«En el diseño metodológico, la fase 2 registra como actividad la conformación de cuatro células ágiles de cinco a siete miembros, con Scrum/Kanban y sprints quincenales (p. 48); pero al cerrar el capítulo el modelo se plantea como guía para una futura implementación (p. 88). ¿Esas cuatro células se conformaron con personas de la empresa y alcanzaron a correr algún sprint, o el segundo objetivo se cerró en el nivel de diseño?»</w:t>
      </w:r>
    </w:p>
    <w:p>
      <w:pPr>
        <w:pStyle w:val="ListNumber"/>
      </w:pPr>
      <w:r>
        <w:rPr>
          <w:rFonts w:ascii="Calibri" w:hAnsi="Calibri"/>
          <w:b w:val="0"/>
          <w:color w:val="2B2B2B"/>
          <w:sz w:val="22"/>
        </w:rPr>
        <w:t>«En la Tabla 14 los dieciséis indicadores llevan como línea base la palabra "Diagnóstico inicial" (pp. 93-97). Denme un número: ¿cuánto es hoy el tiempo promedio de cubrimiento de una vacante en esa empresa, y de dónde sale ese dato?»</w:t>
      </w:r>
    </w:p>
    <w:p>
      <w:pPr>
        <w:pStyle w:val="ListNumber"/>
      </w:pPr>
      <w:r>
        <w:rPr>
          <w:rFonts w:ascii="Calibri" w:hAnsi="Calibri"/>
          <w:b w:val="0"/>
          <w:color w:val="2B2B2B"/>
          <w:sz w:val="22"/>
        </w:rPr>
        <w:t>«Las figuras 11 a 14 muestran interfaces del ecosistema (pp. 89-91) y ustedes aclaran que los datos del tablero son ilustrativos (p. 97). ¿Esas pantallas son aplicaciones construidas en Power Apps que se pueden abrir en un entorno, o son maquetas del diseño funcional? Y si están construidas, ¿sobre qué listas de SharePoint corren?»</w:t>
      </w:r>
    </w:p>
    <w:p>
      <w:pPr>
        <w:spacing w:before="200" w:after="60"/>
      </w:pPr>
      <w:r>
        <w:rPr>
          <w:rFonts w:ascii="Calibri" w:hAnsi="Calibri"/>
          <w:b/>
          <w:color w:val="007433"/>
          <w:sz w:val="32"/>
        </w:rPr>
        <w:t>Banco de reserva</w:t>
      </w:r>
    </w:p>
    <w:p>
      <w:r>
        <w:rPr>
          <w:rFonts w:ascii="Calibri" w:hAnsi="Calibri"/>
          <w:b/>
          <w:color w:val="2B2B2B"/>
          <w:sz w:val="22"/>
        </w:rPr>
        <w:t>Los códigos no se cambian de sitio.</w:t>
      </w:r>
      <w:r>
        <w:rPr>
          <w:rFonts w:ascii="Calibri" w:hAnsi="Calibri"/>
          <w:b w:val="0"/>
          <w:color w:val="2B2B2B"/>
          <w:sz w:val="22"/>
        </w:rPr>
        <w:t xml:space="preserve"> La §7 llama a estas reservas por su código —R2, R5 y R6— y el código es el que manda, no el orden: por eso las dos listas de abajo reparten las diez reservas ya numeradas sin cambiarle el código a ninguna, y las dos nuevas del mazo —R11 y R12— cierran la segunda lista. La primera se hace </w:t>
      </w:r>
      <w:r>
        <w:rPr>
          <w:rFonts w:ascii="Calibri" w:hAnsi="Calibri"/>
          <w:b/>
          <w:color w:val="2B2B2B"/>
          <w:sz w:val="22"/>
        </w:rPr>
        <w:t>con el documento</w:t>
      </w:r>
      <w:r>
        <w:rPr>
          <w:rFonts w:ascii="Calibri" w:hAnsi="Calibri"/>
          <w:b w:val="0"/>
          <w:color w:val="2B2B2B"/>
          <w:sz w:val="22"/>
        </w:rPr>
        <w:t xml:space="preserve">; la segunda sólo tiene sentido </w:t>
      </w:r>
      <w:r>
        <w:rPr>
          <w:rFonts w:ascii="Calibri" w:hAnsi="Calibri"/>
          <w:b/>
          <w:color w:val="2B2B2B"/>
          <w:sz w:val="22"/>
        </w:rPr>
        <w:t>con el mazo proyectado</w:t>
      </w:r>
      <w:r>
        <w:rPr>
          <w:rFonts w:ascii="Calibri" w:hAnsi="Calibri"/>
          <w:b w:val="0"/>
          <w:color w:val="2B2B2B"/>
          <w:sz w:val="22"/>
        </w:rPr>
        <w:t>, y ahí está la mayor parte del banco, porque casi todas las maquetas del documento llegan a la pantalla.</w:t>
      </w:r>
    </w:p>
    <w:p>
      <w:pPr>
        <w:spacing w:before="140" w:after="60"/>
      </w:pPr>
      <w:r>
        <w:rPr>
          <w:rFonts w:ascii="Calibri" w:hAnsi="Calibri"/>
          <w:b/>
          <w:color w:val="0C2340"/>
          <w:sz w:val="27"/>
        </w:rPr>
        <w:t>Del documento</w:t>
      </w:r>
    </w:p>
    <w:p>
      <w:pPr>
        <w:pStyle w:val="ListBullet"/>
      </w:pPr>
      <w:r>
        <w:rPr>
          <w:rFonts w:ascii="Calibri" w:hAnsi="Calibri"/>
          <w:b/>
          <w:color w:val="2B2B2B"/>
          <w:sz w:val="22"/>
        </w:rPr>
        <w:t>R3 (la torta imposible).</w:t>
      </w:r>
      <w:r>
        <w:rPr>
          <w:rFonts w:ascii="Calibri" w:hAnsi="Calibri"/>
          <w:b w:val="0"/>
          <w:color w:val="2B2B2B"/>
          <w:sz w:val="22"/>
        </w:rPr>
        <w:t xml:space="preserve"> En la p. 91, la torta «Calidad de Vida Organizacional» reparte un mismo círculo entre satisfacción 4,3 en escala 1 a 5, clima organizacional 83,5 % y tiempo promedio de respuesta 1,6 días, y en la otra pantalla el clima aparece impreso como «83$». ¿Qué representa el círculo completo y en qué unidad está cada porción?</w:t>
      </w:r>
    </w:p>
    <w:p>
      <w:pPr>
        <w:pStyle w:val="ListBullet"/>
      </w:pPr>
      <w:r>
        <w:rPr>
          <w:rFonts w:ascii="Calibri" w:hAnsi="Calibri"/>
          <w:b/>
          <w:color w:val="2B2B2B"/>
          <w:sz w:val="22"/>
        </w:rPr>
        <w:t>R4 (puntos críticos sin destino).</w:t>
      </w:r>
      <w:r>
        <w:rPr>
          <w:rFonts w:ascii="Calibri" w:hAnsi="Calibri"/>
          <w:b w:val="0"/>
          <w:color w:val="2B2B2B"/>
          <w:sz w:val="22"/>
        </w:rPr>
        <w:t xml:space="preserve"> La Figura 7 levanta el proceso actual con once actividades y cinco puntos críticos rotulados —exceso de correos, reprocesos, duplicidad, ausencia de trazabilidad y seguimiento manual— y sin un solo tiempo por actividad (p. 79). Díganme, punto crítico por punto crítico, cuál módulo del TO BE lo resuelve (pp. 80-81).</w:t>
      </w:r>
    </w:p>
    <w:p>
      <w:pPr>
        <w:pStyle w:val="ListBullet"/>
      </w:pPr>
      <w:r>
        <w:rPr>
          <w:rFonts w:ascii="Calibri" w:hAnsi="Calibri"/>
          <w:b/>
          <w:color w:val="2B2B2B"/>
          <w:sz w:val="22"/>
        </w:rPr>
        <w:t>R8 (el Anexo 5 que se anuncia como evidencia).</w:t>
      </w:r>
      <w:r>
        <w:rPr>
          <w:rFonts w:ascii="Calibri" w:hAnsi="Calibri"/>
          <w:b w:val="0"/>
          <w:color w:val="2B2B2B"/>
          <w:sz w:val="22"/>
        </w:rPr>
        <w:t xml:space="preserve"> La p. 124 anuncia que «la evidencia del proceso de validación se presenta en el Anexo 5», y el Anexo 5 solo trae prosa, una tabla de cuatro aspectos y la frase «profesionales con experiencia en Gestión Humana y transformación digital» (pp. 125-126). ¿Cuántos expertos fueron, con qué cargo cada uno, y en qué formato dejaron registrado su juicio?</w:t>
      </w:r>
    </w:p>
    <w:p>
      <w:pPr>
        <w:pStyle w:val="ListBullet"/>
      </w:pPr>
      <w:r>
        <w:rPr>
          <w:rFonts w:ascii="Calibri" w:hAnsi="Calibri"/>
          <w:b/>
          <w:color w:val="2B2B2B"/>
          <w:sz w:val="22"/>
        </w:rPr>
        <w:t>R9 (muestreo).</w:t>
      </w:r>
      <w:r>
        <w:rPr>
          <w:rFonts w:ascii="Calibri" w:hAnsi="Calibri"/>
          <w:b w:val="0"/>
          <w:color w:val="2B2B2B"/>
          <w:sz w:val="22"/>
        </w:rPr>
        <w:t xml:space="preserve"> ¿Cómo se construyeron los estratos y cómo se seleccionó a los 150 dentro de cada uno, si lo declarado es «muestreo estratificado probabilístico» por nivel jerárquico y antigüedad (pp. 45, 49) y lo reportado es área y antigüedad, sin marco, sin tamaño, sin confianza ni error (pp. 99-101)?</w:t>
      </w:r>
    </w:p>
    <w:p>
      <w:pPr>
        <w:spacing w:before="140" w:after="60"/>
      </w:pPr>
      <w:r>
        <w:rPr>
          <w:rFonts w:ascii="Calibri" w:hAnsi="Calibri"/>
          <w:b/>
          <w:color w:val="0C2340"/>
          <w:sz w:val="27"/>
        </w:rPr>
        <w:t>De las diapositivas</w:t>
      </w:r>
    </w:p>
    <w:p>
      <w:pPr>
        <w:pStyle w:val="ListBullet"/>
      </w:pPr>
      <w:r>
        <w:rPr>
          <w:rFonts w:ascii="Calibri" w:hAnsi="Calibri"/>
          <w:b/>
          <w:color w:val="2B2B2B"/>
          <w:sz w:val="22"/>
        </w:rPr>
        <w:t>R1 (el signo invertido de dos metas — en pantalla, dp. 19).</w:t>
      </w:r>
      <w:r>
        <w:rPr>
          <w:rFonts w:ascii="Calibri" w:hAnsi="Calibri"/>
          <w:b w:val="0"/>
          <w:color w:val="2B2B2B"/>
          <w:sz w:val="22"/>
        </w:rPr>
        <w:t xml:space="preserve"> La Tabla 14 fija para el tiempo de cubrimiento de vacantes la meta «≤ 20 días», sentido esperado </w:t>
      </w:r>
      <w:r>
        <w:rPr>
          <w:rFonts w:ascii="Calibri" w:hAnsi="Calibri"/>
          <w:b/>
          <w:color w:val="2B2B2B"/>
          <w:sz w:val="22"/>
        </w:rPr>
        <w:t>Disminuir</w:t>
      </w:r>
      <w:r>
        <w:rPr>
          <w:rFonts w:ascii="Calibri" w:hAnsi="Calibri"/>
          <w:b w:val="0"/>
          <w:color w:val="2B2B2B"/>
          <w:sz w:val="22"/>
        </w:rPr>
        <w:t xml:space="preserve"> (p. 93), y para los tiempos no laborados «≤ 3 %», también Disminuir (p. 94). Las tarjetas del tablero (p. 91) imprimen «18 dias · meta ≥ 20 dias» y «2,45% · meta ≥ 3%». Con ese signo, tardar más sería cumplir. ¿Cuál de los dos es el correcto? Si es un error de rótulo, basta decirlo. </w:t>
      </w:r>
      <w:r>
        <w:rPr>
          <w:rFonts w:ascii="Calibri" w:hAnsi="Calibri"/>
          <w:i/>
          <w:color w:val="2B2B2B"/>
          <w:sz w:val="22"/>
        </w:rPr>
        <w:t>(Cayó de la terna por el filtro del esquive: «es un error de digitación de la maqueta, manda la Tabla 14» la cierra en quince segundos y no mueve ningún criterio. Sirve si la pantalla se presenta como si midiera.)</w:t>
      </w:r>
    </w:p>
    <w:p>
      <w:pPr>
        <w:pStyle w:val="ListBullet"/>
      </w:pPr>
      <w:r>
        <w:rPr>
          <w:rFonts w:ascii="Calibri" w:hAnsi="Calibri"/>
          <w:b/>
          <w:color w:val="2B2B2B"/>
          <w:sz w:val="22"/>
        </w:rPr>
        <w:t>R2 (los datos del tablero no cuadran entre pantallas — en pantalla, dp. 17 y dp. 19).</w:t>
      </w:r>
      <w:r>
        <w:rPr>
          <w:rFonts w:ascii="Calibri" w:hAnsi="Calibri"/>
          <w:b w:val="0"/>
          <w:color w:val="2B2B2B"/>
          <w:sz w:val="22"/>
        </w:rPr>
        <w:t xml:space="preserve"> En la pantalla de vinculaciones de la p. 89 los contadores de estado suman 149 —25 en registro, 46 en revisión, 15 en proceso, 36 aprobados, 27 finalizados— y el pie de esa misma pantalla dice «Mostrando 150 Registros»; el tablero de la p. 91 reporta 85 vacantes cubiertas de 92, cifra irreconciliable con los 63 aprobados y finalizados. Aunque sean simulados, ¿de qué archivo o lista salen esas cifras? Si son maquetas sin modelo de datos compartido, dígannoslo.</w:t>
      </w:r>
    </w:p>
    <w:p>
      <w:pPr>
        <w:pStyle w:val="ListBullet"/>
      </w:pPr>
      <w:r>
        <w:rPr>
          <w:rFonts w:ascii="Calibri" w:hAnsi="Calibri"/>
          <w:b/>
          <w:color w:val="2B2B2B"/>
          <w:sz w:val="22"/>
        </w:rPr>
        <w:t>R5 (cadencia y ceremonias — para quien no expuso el modelo ágil; en pantalla, dp. 15).</w:t>
      </w:r>
      <w:r>
        <w:rPr>
          <w:rFonts w:ascii="Calibri" w:hAnsi="Calibri"/>
          <w:b w:val="0"/>
          <w:color w:val="2B2B2B"/>
          <w:sz w:val="22"/>
        </w:rPr>
        <w:t xml:space="preserve"> La Figura 10 rotula la reunión de seguimiento como «Alineación diaria» (p. 82) y la Tabla 11 le asigna frecuencia «Semanal» (p. 85); la figura muestra solo tres ceremonias y omite la planificación del sprint que la tabla sí lista. ¿La cadencia de esa reunión es diaria o semanal, y cuántas ceremonias tiene el modelo?</w:t>
      </w:r>
    </w:p>
    <w:p>
      <w:pPr>
        <w:pStyle w:val="ListBullet"/>
      </w:pPr>
      <w:r>
        <w:rPr>
          <w:rFonts w:ascii="Calibri" w:hAnsi="Calibri"/>
          <w:b/>
          <w:color w:val="2B2B2B"/>
          <w:sz w:val="22"/>
        </w:rPr>
        <w:t>R6 (los cinco servicios transversales — en pantalla, dp. 14).</w:t>
      </w:r>
      <w:r>
        <w:rPr>
          <w:rFonts w:ascii="Calibri" w:hAnsi="Calibri"/>
          <w:b w:val="0"/>
          <w:color w:val="2B2B2B"/>
          <w:sz w:val="22"/>
        </w:rPr>
        <w:t xml:space="preserve"> La Figura 9 dibuja como servicios transversales de Power Platform los flujos de Power Automate, la analítica de Power BI, la seguridad con AAD, los conectores y APIs y la integración con Microsoft 365, pero el texto de esa misma página solo nombra Power Apps y SharePoint (p. 81). ¿Cuáles de esos cinco quedaron especificados en el diseño y cuáles son solo la caja de la figura?</w:t>
      </w:r>
    </w:p>
    <w:p>
      <w:pPr>
        <w:pStyle w:val="ListBullet"/>
      </w:pPr>
      <w:r>
        <w:rPr>
          <w:rFonts w:ascii="Calibri" w:hAnsi="Calibri"/>
          <w:b/>
          <w:color w:val="2B2B2B"/>
          <w:sz w:val="22"/>
        </w:rPr>
        <w:t>R7 (cuánto cuesta el «bajo costo»).</w:t>
      </w:r>
      <w:r>
        <w:rPr>
          <w:rFonts w:ascii="Calibri" w:hAnsi="Calibri"/>
          <w:b w:val="0"/>
          <w:color w:val="2B2B2B"/>
          <w:sz w:val="22"/>
        </w:rPr>
        <w:t xml:space="preserve"> La dp. 20 concluye que la propuesta «representa una alternativa de bajo costo», y el único costeo es un presupuesto académico de $10.944.230 que asume las licencias Power Apps como educativas y sin costo real, con un solo Microsoft 365 de $319.900 (p. 115), mientras las limitaciones advierten el costo de licencias, la escalabilidad y el mantenimiento (pp. 26-27). ¿Cuánto costaría por usuario al mes en la empresa? Si no se costeó, dígannoslo.</w:t>
      </w:r>
    </w:p>
    <w:p>
      <w:pPr>
        <w:pStyle w:val="ListBullet"/>
      </w:pPr>
      <w:r>
        <w:rPr>
          <w:rFonts w:ascii="Calibri" w:hAnsi="Calibri"/>
          <w:b/>
          <w:color w:val="2B2B2B"/>
          <w:sz w:val="22"/>
        </w:rPr>
        <w:t>R10 (composición de la muestra).</w:t>
      </w:r>
      <w:r>
        <w:rPr>
          <w:rFonts w:ascii="Calibri" w:hAnsi="Calibri"/>
          <w:b w:val="0"/>
          <w:color w:val="2B2B2B"/>
          <w:sz w:val="22"/>
        </w:rPr>
        <w:t xml:space="preserve"> La dp. 7 afirma «150 colaboradores (20 de RR. HH. y 130 operativos)» y la Tabla 15 registra 15 personas de Recursos Humanos, el 10 % de la muestra (p. 99). ¿Cuál de las dos cifras es la del estudio y cuál queda por corregir?</w:t>
      </w:r>
    </w:p>
    <w:p>
      <w:pPr>
        <w:pStyle w:val="ListBullet"/>
      </w:pPr>
      <w:r>
        <w:rPr>
          <w:rFonts w:ascii="Calibri" w:hAnsi="Calibri"/>
          <w:b/>
          <w:color w:val="2B2B2B"/>
          <w:sz w:val="22"/>
        </w:rPr>
        <w:t>R11 (la ruta metodológica que cambió entre el documento y la pantalla).</w:t>
      </w:r>
      <w:r>
        <w:rPr>
          <w:rFonts w:ascii="Calibri" w:hAnsi="Calibri"/>
          <w:b w:val="0"/>
          <w:color w:val="2B2B2B"/>
          <w:sz w:val="22"/>
        </w:rPr>
        <w:t xml:space="preserve"> La dp. 8 presenta tres fases en las que la fase 1 entrega un «Diagnóstico y mapa de procesos susceptibles de optimización» —sin el «Informe de línea base» de la p. 47—, la fase 2 se dedica sólo a «Definición de las cuatro células ágiles» —donde la p. 48 dice «Conformación… (5–7 miembros, Scrum/Kanban, sprints quincenales)»— y la arquitectura funcional se corre a la fase 3, cuando en el documento es de la fase 2. ¿Cuál de las dos rutas es la que ejecutó el proyecto, y cuándo se cambió? *(Se hace </w:t>
      </w:r>
      <w:r>
        <w:rPr>
          <w:rFonts w:ascii="Calibri" w:hAnsi="Calibri"/>
          <w:b/>
          <w:color w:val="2B2B2B"/>
          <w:sz w:val="22"/>
        </w:rPr>
        <w:t>una</w:t>
      </w:r>
      <w:r>
        <w:rPr>
          <w:rFonts w:ascii="Calibri" w:hAnsi="Calibri"/>
          <w:b w:val="0"/>
          <w:color w:val="2B2B2B"/>
          <w:sz w:val="22"/>
        </w:rPr>
        <w:t xml:space="preserve"> de estas tres: R11, P1 o P2. Las tres apuntan al mismo lugar y preguntarlas juntas es acorralar, no evaluar. Si exponen la ruta de la dp. 8, esta reserva reemplaza el planteamiento de la P1.)*</w:t>
      </w:r>
    </w:p>
    <w:p>
      <w:pPr>
        <w:pStyle w:val="ListBullet"/>
      </w:pPr>
      <w:r>
        <w:rPr>
          <w:rFonts w:ascii="Calibri" w:hAnsi="Calibri"/>
          <w:b/>
          <w:color w:val="2B2B2B"/>
          <w:sz w:val="22"/>
        </w:rPr>
        <w:t>R12 (qué llaman «Resultados»).</w:t>
      </w:r>
      <w:r>
        <w:rPr>
          <w:rFonts w:ascii="Calibri" w:hAnsi="Calibri"/>
          <w:b w:val="0"/>
          <w:color w:val="2B2B2B"/>
          <w:sz w:val="22"/>
        </w:rPr>
        <w:t xml:space="preserve"> La dp. 10, titulada «Aplicación de los instrumentos», trae los hallazgos de las cuatro dimensiones de la encuesta, y la dp. 11, titulada «Resultados», trae la caracterización de la muestra. ¿Cuál de los dos capítulos —el 9 o el 10— quieren que se lea como resultados del estudio? </w:t>
      </w:r>
      <w:r>
        <w:rPr>
          <w:rFonts w:ascii="Calibri" w:hAnsi="Calibri"/>
          <w:i/>
          <w:color w:val="2B2B2B"/>
          <w:sz w:val="22"/>
        </w:rPr>
        <w:t>(Más para retroalimentación escrita que para sala: es la misma duplicación estructural del §4, punto 5, y en la sala no cambia ningún criterio.)</w:t>
      </w:r>
    </w:p>
    <w:p>
      <w:pPr>
        <w:spacing w:before="200" w:after="60"/>
      </w:pPr>
      <w:r>
        <w:rPr>
          <w:rFonts w:ascii="Calibri" w:hAnsi="Calibri"/>
          <w:b/>
          <w:color w:val="007433"/>
          <w:sz w:val="32"/>
        </w:rPr>
        <w:t>7. PREGUNTAS DESPUÉS — condicionales, para marcar en caliente</w:t>
      </w:r>
    </w:p>
    <w:p>
      <w:pPr>
        <w:ind w:left="432"/>
        <w:shd w:val="clear" w:fill="E8F5EC"/>
      </w:pPr>
      <w:r>
        <w:rPr>
          <w:rFonts w:ascii="Calibri" w:hAnsi="Calibri"/>
          <w:b/>
          <w:i/>
          <w:color w:val="2B2B2B"/>
          <w:sz w:val="21"/>
        </w:rPr>
        <w:t>Numeración vigente:</w:t>
      </w:r>
      <w:r>
        <w:rPr>
          <w:rFonts w:ascii="Calibri" w:hAnsi="Calibri"/>
          <w:b w:val="0"/>
          <w:i/>
          <w:color w:val="2B2B2B"/>
          <w:sz w:val="21"/>
        </w:rPr>
        <w:t xml:space="preserve"> </w:t>
      </w:r>
      <w:r>
        <w:rPr>
          <w:rFonts w:ascii="Calibri" w:hAnsi="Calibri"/>
          <w:b/>
          <w:i/>
          <w:color w:val="2B2B2B"/>
          <w:sz w:val="21"/>
        </w:rPr>
        <w:t>P1</w:t>
      </w:r>
      <w:r>
        <w:rPr>
          <w:rFonts w:ascii="Calibri" w:hAnsi="Calibri"/>
          <w:b w:val="0"/>
          <w:i/>
          <w:color w:val="2B2B2B"/>
          <w:sz w:val="21"/>
        </w:rPr>
        <w:t xml:space="preserve"> = los cuatro especialistas low-code · </w:t>
      </w:r>
      <w:r>
        <w:rPr>
          <w:rFonts w:ascii="Calibri" w:hAnsi="Calibri"/>
          <w:b/>
          <w:i/>
          <w:color w:val="2B2B2B"/>
          <w:sz w:val="21"/>
        </w:rPr>
        <w:t>P2</w:t>
      </w:r>
      <w:r>
        <w:rPr>
          <w:rFonts w:ascii="Calibri" w:hAnsi="Calibri"/>
          <w:b w:val="0"/>
          <w:i/>
          <w:color w:val="2B2B2B"/>
          <w:sz w:val="21"/>
        </w:rPr>
        <w:t xml:space="preserve"> = la línea base de los dieciséis indicadores · </w:t>
      </w:r>
      <w:r>
        <w:rPr>
          <w:rFonts w:ascii="Calibri" w:hAnsi="Calibri"/>
          <w:b/>
          <w:i/>
          <w:color w:val="2B2B2B"/>
          <w:sz w:val="21"/>
        </w:rPr>
        <w:t>P3</w:t>
      </w:r>
      <w:r>
        <w:rPr>
          <w:rFonts w:ascii="Calibri" w:hAnsi="Calibri"/>
          <w:b w:val="0"/>
          <w:i/>
          <w:color w:val="2B2B2B"/>
          <w:sz w:val="21"/>
        </w:rPr>
        <w:t xml:space="preserve"> = con qué documento se aplicaron los instrumentos. La §8 quedó escrita con la terna anterior y en un punto dice «van solo las preguntas 1 y 3»: </w:t>
      </w:r>
      <w:r>
        <w:rPr>
          <w:rFonts w:ascii="Calibri" w:hAnsi="Calibri"/>
          <w:b/>
          <w:i/>
          <w:color w:val="2B2B2B"/>
          <w:sz w:val="21"/>
        </w:rPr>
        <w:t>con la terna nueva el par que define el alcance es P1 y P2</w:t>
      </w:r>
      <w:r>
        <w:rPr>
          <w:rFonts w:ascii="Calibri" w:hAnsi="Calibri"/>
          <w:b w:val="0"/>
          <w:i/>
          <w:color w:val="2B2B2B"/>
          <w:sz w:val="21"/>
        </w:rPr>
        <w:t>. No se toca la §8 —la genera otro script—, pero en sala manda esta línea.</w:t>
      </w:r>
    </w:p>
    <w:p>
      <w:pPr>
        <w:pStyle w:val="ListBullet"/>
      </w:pPr>
      <w:r>
        <w:rPr>
          <w:rFonts w:ascii="Calibri" w:hAnsi="Calibri"/>
          <w:b/>
          <w:color w:val="2B2B2B"/>
          <w:sz w:val="22"/>
        </w:rPr>
        <w:t>Si no dicen en voz alta que el trabajo terminó en diseño y no en implementación</w:t>
      </w:r>
      <w:r>
        <w:rPr>
          <w:rFonts w:ascii="Calibri" w:hAnsi="Calibri"/>
          <w:b w:val="0"/>
          <w:color w:val="2B2B2B"/>
          <w:sz w:val="22"/>
        </w:rPr>
        <w:t xml:space="preserve"> → hacer </w:t>
      </w:r>
      <w:r>
        <w:rPr>
          <w:rFonts w:ascii="Calibri" w:hAnsi="Calibri"/>
          <w:b/>
          <w:color w:val="2B2B2B"/>
          <w:sz w:val="22"/>
        </w:rPr>
        <w:t>P1</w:t>
      </w:r>
      <w:r>
        <w:rPr>
          <w:rFonts w:ascii="Calibri" w:hAnsi="Calibri"/>
          <w:b w:val="0"/>
          <w:color w:val="2B2B2B"/>
          <w:sz w:val="22"/>
        </w:rPr>
        <w:t xml:space="preserve"> tal cual, sin preámbulo.</w:t>
      </w:r>
    </w:p>
    <w:p>
      <w:pPr>
        <w:pStyle w:val="ListBullet"/>
      </w:pPr>
      <w:r>
        <w:rPr>
          <w:rFonts w:ascii="Calibri" w:hAnsi="Calibri"/>
          <w:b/>
          <w:color w:val="2B2B2B"/>
          <w:sz w:val="22"/>
        </w:rPr>
        <w:t>Si dicen «implementamos» o «está en producción»</w:t>
      </w:r>
      <w:r>
        <w:rPr>
          <w:rFonts w:ascii="Calibri" w:hAnsi="Calibri"/>
          <w:b w:val="0"/>
          <w:color w:val="2B2B2B"/>
          <w:sz w:val="22"/>
        </w:rPr>
        <w:t xml:space="preserve"> → pedir el entorno o la captura en vivo y contrastar con las pp. 97 y 104, donde el propio documento dice lo contrario. Preguntarlo como aclaración, no como acusación: puede ser un desliz de lenguaje.</w:t>
      </w:r>
    </w:p>
    <w:p>
      <w:pPr>
        <w:pStyle w:val="ListBullet"/>
      </w:pPr>
      <w:r>
        <w:rPr>
          <w:rFonts w:ascii="Calibri" w:hAnsi="Calibri"/>
          <w:b/>
          <w:color w:val="2B2B2B"/>
          <w:sz w:val="22"/>
        </w:rPr>
        <w:t>Si presentan el tablero sin decir que los datos son simulados</w:t>
      </w:r>
      <w:r>
        <w:rPr>
          <w:rFonts w:ascii="Calibri" w:hAnsi="Calibri"/>
          <w:b w:val="0"/>
          <w:color w:val="2B2B2B"/>
          <w:sz w:val="22"/>
        </w:rPr>
        <w:t xml:space="preserve"> (la dp. 19 sí lo rotula, y la p. 97 también) → </w:t>
      </w:r>
      <w:r>
        <w:rPr>
          <w:rFonts w:ascii="Calibri" w:hAnsi="Calibri"/>
          <w:b/>
          <w:color w:val="2B2B2B"/>
          <w:sz w:val="22"/>
        </w:rPr>
        <w:t>reserva R2</w:t>
      </w:r>
      <w:r>
        <w:rPr>
          <w:rFonts w:ascii="Calibri" w:hAnsi="Calibri"/>
          <w:b w:val="0"/>
          <w:color w:val="2B2B2B"/>
          <w:sz w:val="22"/>
        </w:rPr>
        <w:t>: de qué archivo o lista salen esas cifras, si los contadores de la p. 89 suman 149 bajo un pie que dice 150.</w:t>
      </w:r>
    </w:p>
    <w:p>
      <w:pPr>
        <w:pStyle w:val="ListBullet"/>
      </w:pPr>
      <w:r>
        <w:rPr>
          <w:rFonts w:ascii="Calibri" w:hAnsi="Calibri"/>
          <w:b/>
          <w:color w:val="2B2B2B"/>
          <w:sz w:val="22"/>
        </w:rPr>
        <w:t>Si leen un número de las tarjetas del tablero como si fuera línea base</w:t>
      </w:r>
      <w:r>
        <w:rPr>
          <w:rFonts w:ascii="Calibri" w:hAnsi="Calibri"/>
          <w:b w:val="0"/>
          <w:color w:val="2B2B2B"/>
          <w:sz w:val="22"/>
        </w:rPr>
        <w:t xml:space="preserve"> («18 días», «2,45 %», p. 91) → </w:t>
      </w:r>
      <w:r>
        <w:rPr>
          <w:rFonts w:ascii="Calibri" w:hAnsi="Calibri"/>
          <w:b/>
          <w:color w:val="2B2B2B"/>
          <w:sz w:val="22"/>
        </w:rPr>
        <w:t>P2</w:t>
      </w:r>
      <w:r>
        <w:rPr>
          <w:rFonts w:ascii="Calibri" w:hAnsi="Calibri"/>
          <w:b w:val="0"/>
          <w:color w:val="2B2B2B"/>
          <w:sz w:val="22"/>
        </w:rPr>
        <w:t xml:space="preserve"> en su versión dura: la p. 97 declara esos datos ilustrativos y ajenos a una implementación operativa, así que el número tiene que venir de otra parte.</w:t>
      </w:r>
    </w:p>
    <w:p>
      <w:pPr>
        <w:pStyle w:val="ListBullet"/>
      </w:pPr>
      <w:r>
        <w:rPr>
          <w:rFonts w:ascii="Calibri" w:hAnsi="Calibri"/>
          <w:b/>
          <w:color w:val="2B2B2B"/>
          <w:sz w:val="22"/>
        </w:rPr>
        <w:t>Si atribuyen mejoras cuantificadas</w:t>
      </w:r>
      <w:r>
        <w:rPr>
          <w:rFonts w:ascii="Calibri" w:hAnsi="Calibri"/>
          <w:b w:val="0"/>
          <w:color w:val="2B2B2B"/>
          <w:sz w:val="22"/>
        </w:rPr>
        <w:t xml:space="preserve"> («se redujeron los tiempos», «bajaron los reprocesos») → pedir cuándo se midió y contra qué línea base, y recordar las pp. 78, 97 y 104.</w:t>
      </w:r>
    </w:p>
    <w:p>
      <w:pPr>
        <w:pStyle w:val="ListBullet"/>
      </w:pPr>
      <w:r>
        <w:rPr>
          <w:rFonts w:ascii="Calibri" w:hAnsi="Calibri"/>
          <w:b/>
          <w:color w:val="2B2B2B"/>
          <w:sz w:val="22"/>
        </w:rPr>
        <w:t>Si solo habla una de las dos</w:t>
      </w:r>
      <w:r>
        <w:rPr>
          <w:rFonts w:ascii="Calibri" w:hAnsi="Calibri"/>
          <w:b w:val="0"/>
          <w:color w:val="2B2B2B"/>
          <w:sz w:val="22"/>
        </w:rPr>
        <w:t xml:space="preserve"> → pedirle explícitamente a la otra que explique el modelo de células ágiles —roles de la Tabla 8 (p. 83) y ceremonias de la Tabla 11 (p. 85)— o la construcción de los indicadores (pp. 92-97). Es la vía legítima para verificar dominio individual. Si contesta «Alineación diaria», contrastar con el «Semanal» de la Tabla 11 (</w:t>
      </w:r>
      <w:r>
        <w:rPr>
          <w:rFonts w:ascii="Calibri" w:hAnsi="Calibri"/>
          <w:b/>
          <w:color w:val="2B2B2B"/>
          <w:sz w:val="22"/>
        </w:rPr>
        <w:t>reserva R5</w:t>
      </w:r>
      <w:r>
        <w:rPr>
          <w:rFonts w:ascii="Calibri" w:hAnsi="Calibri"/>
          <w:b w:val="0"/>
          <w:color w:val="2B2B2B"/>
          <w:sz w:val="22"/>
        </w:rPr>
        <w:t>).</w:t>
      </w:r>
    </w:p>
    <w:p>
      <w:pPr>
        <w:pStyle w:val="ListBullet"/>
      </w:pPr>
      <w:r>
        <w:rPr>
          <w:rFonts w:ascii="Calibri" w:hAnsi="Calibri"/>
          <w:b/>
          <w:color w:val="2B2B2B"/>
          <w:sz w:val="22"/>
        </w:rPr>
        <w:t>Si se saltan la fase 1 por tiempo</w:t>
      </w:r>
      <w:r>
        <w:rPr>
          <w:rFonts w:ascii="Calibri" w:hAnsi="Calibri"/>
          <w:b w:val="0"/>
          <w:color w:val="2B2B2B"/>
          <w:sz w:val="22"/>
        </w:rPr>
        <w:t xml:space="preserve"> → preguntar por la matriz de priorización (pp. 75-76): vinculaciones y gestión documental quedaron ambas en prioridad «Alta», ¿por qué el eje fue vinculaciones? La dp. 11 la proyecta </w:t>
      </w:r>
      <w:r>
        <w:rPr>
          <w:rFonts w:ascii="Calibri" w:hAnsi="Calibri"/>
          <w:b/>
          <w:color w:val="2B2B2B"/>
          <w:sz w:val="22"/>
        </w:rPr>
        <w:t>sin un solo valor</w:t>
      </w:r>
      <w:r>
        <w:rPr>
          <w:rFonts w:ascii="Calibri" w:hAnsi="Calibri"/>
          <w:b w:val="0"/>
          <w:color w:val="2B2B2B"/>
          <w:sz w:val="22"/>
        </w:rPr>
        <w:t xml:space="preserve"> y justifica al ganador con tres razones que no son las columnas de la matriz, así que la pregunta se hace señalando ese gráfico (§5, punto 4).</w:t>
      </w:r>
    </w:p>
    <w:p>
      <w:pPr>
        <w:pStyle w:val="ListBullet"/>
      </w:pPr>
      <w:r>
        <w:rPr>
          <w:rFonts w:ascii="Calibri" w:hAnsi="Calibri"/>
          <w:b/>
          <w:color w:val="2B2B2B"/>
          <w:sz w:val="22"/>
        </w:rPr>
        <w:t>Si mencionan Power Automate</w:t>
      </w:r>
      <w:r>
        <w:rPr>
          <w:rFonts w:ascii="Calibri" w:hAnsi="Calibri"/>
          <w:b w:val="0"/>
          <w:color w:val="2B2B2B"/>
          <w:sz w:val="22"/>
        </w:rPr>
        <w:t xml:space="preserve"> (dp. 13) → </w:t>
      </w:r>
      <w:r>
        <w:rPr>
          <w:rFonts w:ascii="Calibri" w:hAnsi="Calibri"/>
          <w:b/>
          <w:color w:val="2B2B2B"/>
          <w:sz w:val="22"/>
        </w:rPr>
        <w:t>no decir que el documento no lo trae: la Figura 9 (p. 81) sí lo dibuja</w:t>
      </w:r>
      <w:r>
        <w:rPr>
          <w:rFonts w:ascii="Calibri" w:hAnsi="Calibri"/>
          <w:b w:val="0"/>
          <w:color w:val="2B2B2B"/>
          <w:sz w:val="22"/>
        </w:rPr>
        <w:t xml:space="preserve"> como servicio transversal, y la palabra «automatización» no está en la p. 81 —el criterio está en el OE3 (p. 22)—. Preguntar en su lugar la </w:t>
      </w:r>
      <w:r>
        <w:rPr>
          <w:rFonts w:ascii="Calibri" w:hAnsi="Calibri"/>
          <w:b/>
          <w:color w:val="2B2B2B"/>
          <w:sz w:val="22"/>
        </w:rPr>
        <w:t>reserva R6</w:t>
      </w:r>
      <w:r>
        <w:rPr>
          <w:rFonts w:ascii="Calibri" w:hAnsi="Calibri"/>
          <w:b w:val="0"/>
          <w:color w:val="2B2B2B"/>
          <w:sz w:val="22"/>
        </w:rPr>
        <w:t>: de los cinco servicios transversales de la figura, cuáles quedaron especificados y cuáles son solo la caja. La dp. 14 los proyecta enteros, así que se hace señalando la banda inferior de esa diapositiva (§5, punto 6).</w:t>
      </w:r>
    </w:p>
    <w:p>
      <w:pPr>
        <w:pStyle w:val="ListBullet"/>
      </w:pPr>
      <w:r>
        <w:rPr>
          <w:rFonts w:ascii="Calibri" w:hAnsi="Calibri"/>
          <w:b/>
          <w:color w:val="2B2B2B"/>
          <w:sz w:val="22"/>
        </w:rPr>
        <w:t>Si la ruta metodológica que exponen es la de la dp. 8</w:t>
      </w:r>
      <w:r>
        <w:rPr>
          <w:rFonts w:ascii="Calibri" w:hAnsi="Calibri"/>
          <w:b w:val="0"/>
          <w:color w:val="2B2B2B"/>
          <w:sz w:val="22"/>
        </w:rPr>
        <w:t xml:space="preserve"> —fase 2 dedicada sólo a «Definición de las cuatro células ágiles» y arquitectura funcional en la fase 3— → </w:t>
      </w:r>
      <w:r>
        <w:rPr>
          <w:rFonts w:ascii="Calibri" w:hAnsi="Calibri"/>
          <w:b/>
          <w:color w:val="2B2B2B"/>
          <w:sz w:val="22"/>
        </w:rPr>
        <w:t>reserva R11</w:t>
      </w:r>
      <w:r>
        <w:rPr>
          <w:rFonts w:ascii="Calibri" w:hAnsi="Calibri"/>
          <w:b w:val="0"/>
          <w:color w:val="2B2B2B"/>
          <w:sz w:val="22"/>
        </w:rPr>
        <w:t xml:space="preserve">: cuál de las dos rutas es la del proyecto, si la p. 48 dice «Conformación» y fecha la arquitectura en la fase 2. Reemplaza el planteamiento de la </w:t>
      </w:r>
      <w:r>
        <w:rPr>
          <w:rFonts w:ascii="Calibri" w:hAnsi="Calibri"/>
          <w:b/>
          <w:color w:val="2B2B2B"/>
          <w:sz w:val="22"/>
        </w:rPr>
        <w:t>P1</w:t>
      </w:r>
      <w:r>
        <w:rPr>
          <w:rFonts w:ascii="Calibri" w:hAnsi="Calibri"/>
          <w:b w:val="0"/>
          <w:color w:val="2B2B2B"/>
          <w:sz w:val="22"/>
        </w:rPr>
        <w:t>; no se hacen las dos.</w:t>
      </w:r>
    </w:p>
    <w:p>
      <w:pPr>
        <w:pStyle w:val="ListBullet"/>
      </w:pPr>
      <w:r>
        <w:rPr>
          <w:rFonts w:ascii="Calibri" w:hAnsi="Calibri"/>
          <w:b/>
          <w:color w:val="2B2B2B"/>
          <w:sz w:val="22"/>
        </w:rPr>
        <w:t>Si presentan el tablero de la dp. 19 leyendo «meta ≥ 20 días» o «meta ≥ 3 %»</w:t>
      </w:r>
      <w:r>
        <w:rPr>
          <w:rFonts w:ascii="Calibri" w:hAnsi="Calibri"/>
          <w:b w:val="0"/>
          <w:color w:val="2B2B2B"/>
          <w:sz w:val="22"/>
        </w:rPr>
        <w:t xml:space="preserve"> → </w:t>
      </w:r>
      <w:r>
        <w:rPr>
          <w:rFonts w:ascii="Calibri" w:hAnsi="Calibri"/>
          <w:b/>
          <w:color w:val="2B2B2B"/>
          <w:sz w:val="22"/>
        </w:rPr>
        <w:t>reserva R1</w:t>
      </w:r>
      <w:r>
        <w:rPr>
          <w:rFonts w:ascii="Calibri" w:hAnsi="Calibri"/>
          <w:b w:val="0"/>
          <w:color w:val="2B2B2B"/>
          <w:sz w:val="22"/>
        </w:rPr>
        <w:t xml:space="preserve"> en el momento, sin esperar: la Tabla 14 fija «≤» y sentido Disminuir (pp. 93-94), y con el signo de la pantalla tardar más sería cumplir. Es un error de rótulo de la maqueta y basta que lo digan.</w:t>
      </w:r>
    </w:p>
    <w:p>
      <w:pPr>
        <w:pStyle w:val="ListBullet"/>
      </w:pPr>
      <w:r>
        <w:rPr>
          <w:rFonts w:ascii="Calibri" w:hAnsi="Calibri"/>
          <w:b/>
          <w:color w:val="2B2B2B"/>
          <w:sz w:val="22"/>
        </w:rPr>
        <w:t>Si afirman que las células ya operan en la empresa</w:t>
      </w:r>
      <w:r>
        <w:rPr>
          <w:rFonts w:ascii="Calibri" w:hAnsi="Calibri"/>
          <w:b w:val="0"/>
          <w:color w:val="2B2B2B"/>
          <w:sz w:val="22"/>
        </w:rPr>
        <w:t xml:space="preserve"> → </w:t>
      </w:r>
      <w:r>
        <w:rPr>
          <w:rFonts w:ascii="Calibri" w:hAnsi="Calibri"/>
          <w:b/>
          <w:color w:val="2B2B2B"/>
          <w:sz w:val="22"/>
        </w:rPr>
        <w:t>P1</w:t>
      </w:r>
      <w:r>
        <w:rPr>
          <w:rFonts w:ascii="Calibri" w:hAnsi="Calibri"/>
          <w:b w:val="0"/>
          <w:color w:val="2B2B2B"/>
          <w:sz w:val="22"/>
        </w:rPr>
        <w:t xml:space="preserve"> en su versión dura: acta, tablero de sprint o el cargo de quien ocupó cada rol de la Tabla 8 (p. 83).</w:t>
      </w:r>
    </w:p>
    <w:p>
      <w:pPr>
        <w:pStyle w:val="ListBullet"/>
      </w:pPr>
      <w:r>
        <w:rPr>
          <w:rFonts w:ascii="Calibri" w:hAnsi="Calibri"/>
          <w:b/>
          <w:color w:val="2B2B2B"/>
          <w:sz w:val="22"/>
        </w:rPr>
        <w:t>Si invocan la confidencialidad de la empresa</w:t>
      </w:r>
      <w:r>
        <w:rPr>
          <w:rFonts w:ascii="Calibri" w:hAnsi="Calibri"/>
          <w:b w:val="0"/>
          <w:color w:val="2B2B2B"/>
          <w:sz w:val="22"/>
        </w:rPr>
        <w:t xml:space="preserve"> para no dar datos → </w:t>
      </w:r>
      <w:r>
        <w:rPr>
          <w:rFonts w:ascii="Calibri" w:hAnsi="Calibri"/>
          <w:b/>
          <w:color w:val="2B2B2B"/>
          <w:sz w:val="22"/>
        </w:rPr>
        <w:t>P3</w:t>
      </w:r>
      <w:r>
        <w:rPr>
          <w:rFonts w:ascii="Calibri" w:hAnsi="Calibri"/>
          <w:b w:val="0"/>
          <w:color w:val="2B2B2B"/>
          <w:sz w:val="22"/>
        </w:rPr>
        <w:t>: la confidencialidad no reemplaza la autorización, y «confidencial» aparece una sola vez en el documento (p. 26) y referida al acceso restringido del equipo.</w:t>
      </w:r>
    </w:p>
    <w:p>
      <w:pPr>
        <w:pStyle w:val="ListBullet"/>
      </w:pPr>
      <w:r>
        <w:rPr>
          <w:rFonts w:ascii="Calibri" w:hAnsi="Calibri"/>
          <w:b/>
          <w:color w:val="2B2B2B"/>
          <w:sz w:val="22"/>
        </w:rPr>
        <w:t>Si no mencionan ninguna limitación</w:t>
      </w:r>
      <w:r>
        <w:rPr>
          <w:rFonts w:ascii="Calibri" w:hAnsi="Calibri"/>
          <w:b w:val="0"/>
          <w:color w:val="2B2B2B"/>
          <w:sz w:val="22"/>
        </w:rPr>
        <w:t xml:space="preserve"> → pedirles que digan las dos que escribieron (pp. 26-27) y cuál pesaría más en una implementación real.</w:t>
      </w:r>
    </w:p>
    <w:p>
      <w:pPr>
        <w:pStyle w:val="ListBullet"/>
      </w:pPr>
      <w:r>
        <w:rPr>
          <w:rFonts w:ascii="Calibri" w:hAnsi="Calibri"/>
          <w:b/>
          <w:color w:val="2B2B2B"/>
          <w:sz w:val="22"/>
        </w:rPr>
        <w:t>Si el día va retrasado y les quedan menos de 12 minutos</w:t>
      </w:r>
      <w:r>
        <w:rPr>
          <w:rFonts w:ascii="Calibri" w:hAnsi="Calibri"/>
          <w:b w:val="0"/>
          <w:color w:val="2B2B2B"/>
          <w:sz w:val="22"/>
        </w:rPr>
        <w:t xml:space="preserve"> → renunciar a </w:t>
      </w:r>
      <w:r>
        <w:rPr>
          <w:rFonts w:ascii="Calibri" w:hAnsi="Calibri"/>
          <w:b/>
          <w:color w:val="2B2B2B"/>
          <w:sz w:val="22"/>
        </w:rPr>
        <w:t>P3</w:t>
      </w:r>
      <w:r>
        <w:rPr>
          <w:rFonts w:ascii="Calibri" w:hAnsi="Calibri"/>
          <w:b w:val="0"/>
          <w:color w:val="2B2B2B"/>
          <w:sz w:val="22"/>
        </w:rPr>
        <w:t xml:space="preserve"> y quedarse con </w:t>
      </w:r>
      <w:r>
        <w:rPr>
          <w:rFonts w:ascii="Calibri" w:hAnsi="Calibri"/>
          <w:b/>
          <w:color w:val="2B2B2B"/>
          <w:sz w:val="22"/>
        </w:rPr>
        <w:t>P1 y P2</w:t>
      </w:r>
      <w:r>
        <w:rPr>
          <w:rFonts w:ascii="Calibri" w:hAnsi="Calibri"/>
          <w:b w:val="0"/>
          <w:color w:val="2B2B2B"/>
          <w:sz w:val="22"/>
        </w:rPr>
        <w:t>, que son las que definen el alcance real del trabajo. P3 puede quedar como observación escrita para el metodólogo (§9).</w:t>
      </w:r>
    </w:p>
    <w:p>
      <w:pPr>
        <w:spacing w:before="200" w:after="60"/>
      </w:pPr>
      <w:r>
        <w:rPr>
          <w:rFonts w:ascii="Calibri" w:hAnsi="Calibri"/>
          <w:b/>
          <w:color w:val="007433"/>
          <w:sz w:val="32"/>
        </w:rPr>
        <w:t>8. Umbrales de nota (escala 0,1–5,0, cuatro criterios del jurado)</w:t>
      </w:r>
    </w:p>
    <w:p>
      <w:r>
        <w:rPr>
          <w:rFonts w:ascii="Calibri" w:hAnsi="Calibri"/>
          <w:b/>
          <w:color w:val="2B2B2B"/>
          <w:sz w:val="22"/>
        </w:rPr>
        <w:t>Punto de partida antes de oírlas: 4,0–4,4.</w:t>
      </w:r>
      <w:r>
        <w:rPr>
          <w:rFonts w:ascii="Calibri" w:hAnsi="Calibri"/>
          <w:b w:val="0"/>
          <w:color w:val="2B2B2B"/>
          <w:sz w:val="22"/>
        </w:rPr>
        <w:t xml:space="preserve"> Es un documento coherente, con campo real, con producto localizable y honesto sobre sus límites; lo que lo frena no es el nivel de exigencia de maestría, es que el punto de partida del proyecto no es verificable (línea base ausente, pp. 93-97) y que hay una contradicción interna sobre la ejecución del objetivo 2 (p. 48 vs. p. 88).</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Criterio</w:t>
            </w:r>
          </w:p>
        </w:tc>
        <w:tc>
          <w:tcPr>
            <w:tcW w:type="dxa" w:w="3264"/>
            <w:shd w:val="clear" w:fill="0C2340"/>
            <w:shd w:val="clear" w:fill="0C2340"/>
          </w:tcPr>
          <w:p>
            <w:r>
              <w:rPr>
                <w:rFonts w:ascii="Calibri" w:hAnsi="Calibri"/>
                <w:b/>
                <w:color w:val="FFFFFF"/>
              </w:rPr>
            </w:r>
            <w:r>
              <w:rPr>
                <w:rFonts w:ascii="Calibri" w:hAnsi="Calibri"/>
                <w:b/>
                <w:color w:val="FFFFFF"/>
                <w:sz w:val="21"/>
              </w:rPr>
              <w:t>Para 4,6+ necesito ver</w:t>
            </w:r>
          </w:p>
        </w:tc>
        <w:tc>
          <w:tcPr>
            <w:tcW w:type="dxa" w:w="3264"/>
            <w:shd w:val="clear" w:fill="0C2340"/>
            <w:shd w:val="clear" w:fill="0C2340"/>
          </w:tcPr>
          <w:p>
            <w:r>
              <w:rPr>
                <w:rFonts w:ascii="Calibri" w:hAnsi="Calibri"/>
                <w:b/>
                <w:color w:val="FFFFFF"/>
              </w:rPr>
            </w:r>
            <w:r>
              <w:rPr>
                <w:rFonts w:ascii="Calibri" w:hAnsi="Calibri"/>
                <w:b/>
                <w:color w:val="FFFFFF"/>
                <w:sz w:val="21"/>
              </w:rPr>
              <w:t>Si falta, estamos en</w:t>
            </w:r>
          </w:p>
        </w:tc>
      </w:tr>
      <w:tr>
        <w:tc>
          <w:tcPr>
            <w:tcW w:type="dxa" w:w="3264"/>
          </w:tcPr>
          <w:p>
            <w:r/>
            <w:r>
              <w:rPr>
                <w:rFonts w:ascii="Calibri" w:hAnsi="Calibri"/>
                <w:b/>
                <w:color w:val="2B2B2B"/>
                <w:sz w:val="20"/>
              </w:rPr>
              <w:t>Dominio del tema</w:t>
            </w:r>
          </w:p>
        </w:tc>
        <w:tc>
          <w:tcPr>
            <w:tcW w:type="dxa" w:w="3264"/>
          </w:tcPr>
          <w:p>
            <w:r/>
            <w:r>
              <w:rPr>
                <w:rFonts w:ascii="Calibri" w:hAnsi="Calibri"/>
                <w:b w:val="0"/>
                <w:color w:val="2B2B2B"/>
                <w:sz w:val="20"/>
              </w:rPr>
              <w:t>Que resuelvan la pregunta 1 sin ambigüedad y que expliquen por qué un diseño con línea base pendiente sigue siendo un aporte; que sepan de memoria sus propios números (3,2 de eficiencia, 2,85 de acceso a la información, 52 % de vinculaciones)</w:t>
            </w:r>
          </w:p>
        </w:tc>
        <w:tc>
          <w:tcPr>
            <w:tcW w:type="dxa" w:w="3264"/>
          </w:tcPr>
          <w:p>
            <w:r/>
            <w:r>
              <w:rPr>
                <w:rFonts w:ascii="Calibri" w:hAnsi="Calibri"/>
                <w:b w:val="0"/>
                <w:color w:val="2B2B2B"/>
                <w:sz w:val="20"/>
              </w:rPr>
              <w:t>4,0–4,4 si dependen del documento para recordar sus datos</w:t>
            </w:r>
          </w:p>
        </w:tc>
      </w:tr>
      <w:tr>
        <w:tc>
          <w:tcPr>
            <w:tcW w:type="dxa" w:w="3264"/>
            <w:shd w:val="clear" w:fill="F5F7F5"/>
            <w:shd w:val="clear" w:fill="F5F7F5"/>
          </w:tcPr>
          <w:p>
            <w:r/>
            <w:r>
              <w:rPr>
                <w:rFonts w:ascii="Calibri" w:hAnsi="Calibri"/>
                <w:b/>
                <w:color w:val="2B2B2B"/>
                <w:sz w:val="20"/>
              </w:rPr>
              <w:t>Claridad</w:t>
            </w:r>
          </w:p>
        </w:tc>
        <w:tc>
          <w:tcPr>
            <w:tcW w:type="dxa" w:w="3264"/>
            <w:shd w:val="clear" w:fill="F5F7F5"/>
            <w:shd w:val="clear" w:fill="F5F7F5"/>
          </w:tcPr>
          <w:p>
            <w:r/>
            <w:r>
              <w:rPr>
                <w:rFonts w:ascii="Calibri" w:hAnsi="Calibri"/>
                <w:b w:val="0"/>
                <w:color w:val="2B2B2B"/>
                <w:sz w:val="20"/>
              </w:rPr>
              <w:t>Exposición que separe explícitamente diagnóstico → diseño → lo que queda para el piloto, sin leer las diapositivas</w:t>
            </w:r>
          </w:p>
        </w:tc>
        <w:tc>
          <w:tcPr>
            <w:tcW w:type="dxa" w:w="3264"/>
            <w:shd w:val="clear" w:fill="F5F7F5"/>
            <w:shd w:val="clear" w:fill="F5F7F5"/>
          </w:tcPr>
          <w:p>
            <w:r/>
            <w:r>
              <w:rPr>
                <w:rFonts w:ascii="Calibri" w:hAnsi="Calibri"/>
                <w:b w:val="0"/>
                <w:color w:val="2B2B2B"/>
                <w:sz w:val="20"/>
              </w:rPr>
              <w:t>3,6–4,0 si leen las láminas o si el tablero se presenta como si fuera operativo</w:t>
            </w:r>
          </w:p>
        </w:tc>
      </w:tr>
      <w:tr>
        <w:tc>
          <w:tcPr>
            <w:tcW w:type="dxa" w:w="3264"/>
          </w:tcPr>
          <w:p>
            <w:r/>
            <w:r>
              <w:rPr>
                <w:rFonts w:ascii="Calibri" w:hAnsi="Calibri"/>
                <w:b/>
                <w:color w:val="2B2B2B"/>
                <w:sz w:val="20"/>
              </w:rPr>
              <w:t>Coherencia del documento</w:t>
            </w:r>
          </w:p>
        </w:tc>
        <w:tc>
          <w:tcPr>
            <w:tcW w:type="dxa" w:w="3264"/>
          </w:tcPr>
          <w:p>
            <w:r/>
            <w:r>
              <w:rPr>
                <w:rFonts w:ascii="Calibri" w:hAnsi="Calibri"/>
                <w:b w:val="0"/>
                <w:color w:val="2B2B2B"/>
                <w:sz w:val="20"/>
              </w:rPr>
              <w:t>Que la respuesta sostenga lo que el documento dice, y que la contradicción de la p. 48 se explique como redacción y no como hecho</w:t>
            </w:r>
          </w:p>
        </w:tc>
        <w:tc>
          <w:tcPr>
            <w:tcW w:type="dxa" w:w="3264"/>
          </w:tcPr>
          <w:p>
            <w:r/>
            <w:r>
              <w:rPr>
                <w:rFonts w:ascii="Calibri" w:hAnsi="Calibri"/>
                <w:b w:val="0"/>
                <w:color w:val="2B2B2B"/>
                <w:sz w:val="20"/>
              </w:rPr>
              <w:t>4,0–4,4 tal como está: la cadena título→objetivo→resultados sí cierra (pp. 22, 103-104), pero la línea base declarada y no existente, el capítulo 10 duplicado y las referencias con restos de plantilla (pp. 111-112) impiden el 4,6</w:t>
            </w:r>
          </w:p>
        </w:tc>
      </w:tr>
      <w:tr>
        <w:tc>
          <w:tcPr>
            <w:tcW w:type="dxa" w:w="3264"/>
            <w:shd w:val="clear" w:fill="F5F7F5"/>
            <w:shd w:val="clear" w:fill="F5F7F5"/>
          </w:tcPr>
          <w:p>
            <w:r/>
            <w:r>
              <w:rPr>
                <w:rFonts w:ascii="Calibri" w:hAnsi="Calibri"/>
                <w:b/>
                <w:color w:val="2B2B2B"/>
                <w:sz w:val="20"/>
              </w:rPr>
              <w:t>Capacidad de defensa</w:t>
            </w:r>
          </w:p>
        </w:tc>
        <w:tc>
          <w:tcPr>
            <w:tcW w:type="dxa" w:w="3264"/>
            <w:shd w:val="clear" w:fill="F5F7F5"/>
            <w:shd w:val="clear" w:fill="F5F7F5"/>
          </w:tcPr>
          <w:p>
            <w:r/>
            <w:r>
              <w:rPr>
                <w:rFonts w:ascii="Calibri" w:hAnsi="Calibri"/>
                <w:b w:val="0"/>
                <w:color w:val="2B2B2B"/>
                <w:sz w:val="20"/>
              </w:rPr>
              <w:t xml:space="preserve">Que </w:t>
            </w:r>
            <w:r>
              <w:rPr>
                <w:rFonts w:ascii="Calibri" w:hAnsi="Calibri"/>
                <w:b/>
                <w:color w:val="2B2B2B"/>
                <w:sz w:val="20"/>
              </w:rPr>
              <w:t>ambas</w:t>
            </w:r>
            <w:r>
              <w:rPr>
                <w:rFonts w:ascii="Calibri" w:hAnsi="Calibri"/>
                <w:b w:val="0"/>
                <w:color w:val="2B2B2B"/>
                <w:sz w:val="20"/>
              </w:rPr>
              <w:t xml:space="preserve"> respondan, que acepten un límite sin defenderlo de más y que ofrezcan cómo lo medirían en el piloto</w:t>
            </w:r>
          </w:p>
        </w:tc>
        <w:tc>
          <w:tcPr>
            <w:tcW w:type="dxa" w:w="3264"/>
            <w:shd w:val="clear" w:fill="F5F7F5"/>
            <w:shd w:val="clear" w:fill="F5F7F5"/>
          </w:tcPr>
          <w:p>
            <w:r/>
            <w:r>
              <w:rPr>
                <w:rFonts w:ascii="Calibri" w:hAnsi="Calibri"/>
                <w:b w:val="0"/>
                <w:color w:val="2B2B2B"/>
                <w:sz w:val="20"/>
              </w:rPr>
              <w:t>3,0–3,5 si sostienen impactos que no midieron o si solo una de las dos puede defender el trabajo</w:t>
            </w:r>
          </w:p>
        </w:tc>
      </w:tr>
    </w:tbl>
    <w:p/>
    <w:p>
      <w:r>
        <w:rPr>
          <w:rFonts w:ascii="Calibri" w:hAnsi="Calibri"/>
          <w:b/>
          <w:color w:val="2B2B2B"/>
          <w:sz w:val="22"/>
        </w:rPr>
        <w:t>Fronteras que dejo escritas antes de entrar, para no improvisarlas:</w:t>
      </w:r>
    </w:p>
    <w:p>
      <w:pPr>
        <w:pStyle w:val="ListBullet"/>
      </w:pPr>
      <w:r>
        <w:rPr>
          <w:rFonts w:ascii="Calibri" w:hAnsi="Calibri"/>
          <w:b/>
          <w:color w:val="2B2B2B"/>
          <w:sz w:val="22"/>
        </w:rPr>
        <w:t>5,0 (laureada) no está sobre la mesa</w:t>
      </w:r>
      <w:r>
        <w:rPr>
          <w:rFonts w:ascii="Calibri" w:hAnsi="Calibri"/>
          <w:b w:val="0"/>
          <w:color w:val="2B2B2B"/>
          <w:sz w:val="22"/>
        </w:rPr>
        <w:t xml:space="preserve"> en este trabajo: la lista de referencias arrastra entradas ajenas al proyecto (pp. 111-112) y dieciséis indicadores se declaran con una línea base que no existe (pp. 93-97). Eso basta para que no sea un trabajo impecable, por bien que sustenten.</w:t>
      </w:r>
    </w:p>
    <w:p>
      <w:pPr>
        <w:pStyle w:val="ListBullet"/>
      </w:pPr>
      <w:r>
        <w:rPr>
          <w:rFonts w:ascii="Calibri" w:hAnsi="Calibri"/>
          <w:b/>
          <w:color w:val="2B2B2B"/>
          <w:sz w:val="22"/>
        </w:rPr>
        <w:t>4,6–4,99 (meritoria) es alcanzable</w:t>
      </w:r>
      <w:r>
        <w:rPr>
          <w:rFonts w:ascii="Calibri" w:hAnsi="Calibri"/>
          <w:b w:val="0"/>
          <w:color w:val="2B2B2B"/>
          <w:sz w:val="22"/>
        </w:rPr>
        <w:t xml:space="preserve"> solo si contestan las tres preguntas y ambas demuestran dominio: sería premiar la honestidad metodológica y la operacionalización de los indicadores, que son sus dos mejores activos.</w:t>
      </w:r>
    </w:p>
    <w:p>
      <w:pPr>
        <w:pStyle w:val="ListBullet"/>
      </w:pPr>
      <w:r>
        <w:rPr>
          <w:rFonts w:ascii="Calibri" w:hAnsi="Calibri"/>
          <w:b/>
          <w:color w:val="2B2B2B"/>
          <w:sz w:val="22"/>
        </w:rPr>
        <w:t>Por debajo de 3,0</w:t>
      </w:r>
      <w:r>
        <w:rPr>
          <w:rFonts w:ascii="Calibri" w:hAnsi="Calibri"/>
          <w:b w:val="0"/>
          <w:color w:val="2B2B2B"/>
          <w:sz w:val="22"/>
        </w:rPr>
        <w:t xml:space="preserve"> solo si afirman resultados de impacto que el documento niega (pp. 97, 104) o si no pueden explicar su propio instrumento.</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Techo declarado y techo alcanzado coinciden (pp. 22, 103-104), que es una virtud real. El reparo de fondo: las dos cifras que sostienen la magnitud del problema —«70 % manual» (p. 45) y «rotación superior al 30 %» (p. 24)— </w:t>
      </w:r>
      <w:r>
        <w:rPr>
          <w:rFonts w:ascii="Calibri" w:hAnsi="Calibri"/>
          <w:b/>
          <w:color w:val="2B2B2B"/>
          <w:sz w:val="22"/>
        </w:rPr>
        <w:t>no tienen fuente</w:t>
      </w:r>
      <w:r>
        <w:rPr>
          <w:rFonts w:ascii="Calibri" w:hAnsi="Calibri"/>
          <w:b w:val="0"/>
          <w:color w:val="2B2B2B"/>
          <w:sz w:val="22"/>
        </w:rPr>
        <w:t>, y son precisamente las que justifican el proyecto.</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La lista de referencias no es la de este proyecto. Viene en </w:t>
      </w:r>
      <w:r>
        <w:rPr>
          <w:rFonts w:ascii="Calibri" w:hAnsi="Calibri"/>
          <w:b/>
          <w:color w:val="2B2B2B"/>
          <w:sz w:val="22"/>
        </w:rPr>
        <w:t>dos series alfabéticas</w:t>
      </w:r>
      <w:r>
        <w:rPr>
          <w:rFonts w:ascii="Calibri" w:hAnsi="Calibri"/>
          <w:b w:val="0"/>
          <w:color w:val="2B2B2B"/>
          <w:sz w:val="22"/>
        </w:rPr>
        <w:t xml:space="preserve"> y contiene entradas sin relación con el objeto: IEEE 802.15.4, SPSS 27 —que no se usa en ninguna parte—, Rioja 2008 sobre personas sordas, y producción agraria PGS. Con ese material no se puede acreditar pertinencia ni articulación de referentes, aunque el cuerpo del texto sí maneje los conceptos. </w:t>
      </w:r>
      <w:r>
        <w:rPr>
          <w:rFonts w:ascii="Calibri" w:hAnsi="Calibri"/>
          <w:b/>
          <w:color w:val="2B2B2B"/>
          <w:sz w:val="22"/>
        </w:rPr>
        <w:t>De dónde sale el reparo:</w:t>
      </w:r>
      <w:r>
        <w:rPr>
          <w:rFonts w:ascii="Calibri" w:hAnsi="Calibri"/>
          <w:b w:val="0"/>
          <w:color w:val="2B2B2B"/>
          <w:sz w:val="22"/>
        </w:rPr>
        <w:t xml:space="preserve"> del documento. La dp. 21 proyecta sólo la primera serie —36 entradas, 21 sin año— y deja fuera la segunda, que es donde están esas cuatro entradas ajenas (§5, punto 9); en la sala este 2 no se ve.</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El campo es el más grande del cohorte —</w:t>
      </w:r>
      <w:r>
        <w:rPr>
          <w:rFonts w:ascii="Calibri" w:hAnsi="Calibri"/>
          <w:b/>
          <w:color w:val="2B2B2B"/>
          <w:sz w:val="22"/>
        </w:rPr>
        <w:t>150 encuestas</w:t>
      </w:r>
      <w:r>
        <w:rPr>
          <w:rFonts w:ascii="Calibri" w:hAnsi="Calibri"/>
          <w:b w:val="0"/>
          <w:color w:val="2B2B2B"/>
          <w:sz w:val="22"/>
        </w:rPr>
        <w:t xml:space="preserve"> de 22 ítems Likert en cuatro dimensiones y </w:t>
      </w:r>
      <w:r>
        <w:rPr>
          <w:rFonts w:ascii="Calibri" w:hAnsi="Calibri"/>
          <w:b/>
          <w:color w:val="2B2B2B"/>
          <w:sz w:val="22"/>
        </w:rPr>
        <w:t>25 entrevistas</w:t>
      </w:r>
      <w:r>
        <w:rPr>
          <w:rFonts w:ascii="Calibri" w:hAnsi="Calibri"/>
          <w:b w:val="0"/>
          <w:color w:val="2B2B2B"/>
          <w:sz w:val="22"/>
        </w:rPr>
        <w:t xml:space="preserve">, 175 participantes— y eso vale. Lo que impide más de 2 son tres cosas verificables: se declara </w:t>
      </w:r>
      <w:r>
        <w:rPr>
          <w:rFonts w:ascii="Calibri" w:hAnsi="Calibri"/>
          <w:b/>
          <w:color w:val="2B2B2B"/>
          <w:sz w:val="22"/>
        </w:rPr>
        <w:t>«muestreo estratificado probabilístico»</w:t>
      </w:r>
      <w:r>
        <w:rPr>
          <w:rFonts w:ascii="Calibri" w:hAnsi="Calibri"/>
          <w:b w:val="0"/>
          <w:color w:val="2B2B2B"/>
          <w:sz w:val="22"/>
        </w:rPr>
        <w:t xml:space="preserve"> (pp. 45, 49) </w:t>
      </w:r>
      <w:r>
        <w:rPr>
          <w:rFonts w:ascii="Calibri" w:hAnsi="Calibri"/>
          <w:b/>
          <w:color w:val="2B2B2B"/>
          <w:sz w:val="22"/>
        </w:rPr>
        <w:t>sin marco, sin tamaño, sin confianza y sin error</w:t>
      </w:r>
      <w:r>
        <w:rPr>
          <w:rFonts w:ascii="Calibri" w:hAnsi="Calibri"/>
          <w:b w:val="0"/>
          <w:color w:val="2B2B2B"/>
          <w:sz w:val="22"/>
        </w:rPr>
        <w:t xml:space="preserve">, y los estratos declarados (nivel jerárquico y antigüedad) no son los reportados (área y antigüedad, pp. 99-101); los instrumentos se dicen validados por juicio de expertos (Anexo 5, pp. 125-126) </w:t>
      </w:r>
      <w:r>
        <w:rPr>
          <w:rFonts w:ascii="Calibri" w:hAnsi="Calibri"/>
          <w:b/>
          <w:color w:val="2B2B2B"/>
          <w:sz w:val="22"/>
        </w:rPr>
        <w:t>sin decir cuántos ni quiénes</w:t>
      </w:r>
      <w:r>
        <w:rPr>
          <w:rFonts w:ascii="Calibri" w:hAnsi="Calibri"/>
          <w:b w:val="0"/>
          <w:color w:val="2B2B2B"/>
          <w:sz w:val="22"/>
        </w:rPr>
        <w:t xml:space="preserve">; y en 126 páginas con 175 participantes hay </w:t>
      </w:r>
      <w:r>
        <w:rPr>
          <w:rFonts w:ascii="Calibri" w:hAnsi="Calibri"/>
          <w:b/>
          <w:color w:val="2B2B2B"/>
          <w:sz w:val="22"/>
        </w:rPr>
        <w:t>cero menciones</w:t>
      </w:r>
      <w:r>
        <w:rPr>
          <w:rFonts w:ascii="Calibri" w:hAnsi="Calibri"/>
          <w:b w:val="0"/>
          <w:color w:val="2B2B2B"/>
          <w:sz w:val="22"/>
        </w:rPr>
        <w:t xml:space="preserve"> de consentimiento, confidencialidad, ética, anonimato o habeas data, ni carta de autorización de la empresa. </w:t>
      </w:r>
      <w:r>
        <w:rPr>
          <w:rFonts w:ascii="Calibri" w:hAnsi="Calibri"/>
          <w:b/>
          <w:color w:val="2B2B2B"/>
          <w:sz w:val="22"/>
        </w:rPr>
        <w:t>De dónde sale el reparo:</w:t>
      </w:r>
      <w:r>
        <w:rPr>
          <w:rFonts w:ascii="Calibri" w:hAnsi="Calibri"/>
          <w:b w:val="0"/>
          <w:color w:val="2B2B2B"/>
          <w:sz w:val="22"/>
        </w:rPr>
        <w:t xml:space="preserve"> del documento, y el mazo no lo empeora ni lo arregla —la dp. 7 no repite la sobredeclaración del muestreo (§5, punto 12) y las 23 diapositivas tampoco mencionan la ética—.</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Los resultados están cuantificados dimensión por dimensión (eficiencia 3,2/5, gestión documental 3,05, tiempos 3,07, acceso a la información 2,85, adecuación de herramientas 2,96; continuar con TD 4,13; ágiles 4,27; vinculaciones 52 % y gestión documental 36 %, p. 74), con matriz de priorización (pp. 75-76), AS IS (p. 79) / TO BE (p. 80) y </w:t>
      </w:r>
      <w:r>
        <w:rPr>
          <w:rFonts w:ascii="Calibri" w:hAnsi="Calibri"/>
          <w:b/>
          <w:color w:val="2B2B2B"/>
          <w:sz w:val="22"/>
        </w:rPr>
        <w:t>16 indicadores plenamente operacionalizados</w:t>
      </w:r>
      <w:r>
        <w:rPr>
          <w:rFonts w:ascii="Calibri" w:hAnsi="Calibri"/>
          <w:b w:val="0"/>
          <w:color w:val="2B2B2B"/>
          <w:sz w:val="22"/>
        </w:rPr>
        <w:t xml:space="preserve"> (Tabla 14, pp. 93-97). Pero la columna «Línea base» de esos 16 indicadores dice «Diagnóstico inicial» en los 16 y </w:t>
      </w:r>
      <w:r>
        <w:rPr>
          <w:rFonts w:ascii="Calibri" w:hAnsi="Calibri"/>
          <w:b/>
          <w:color w:val="2B2B2B"/>
          <w:sz w:val="22"/>
        </w:rPr>
        <w:t>no hay un solo número en ninguna página</w:t>
      </w:r>
      <w:r>
        <w:rPr>
          <w:rFonts w:ascii="Calibri" w:hAnsi="Calibri"/>
          <w:b w:val="0"/>
          <w:color w:val="2B2B2B"/>
          <w:sz w:val="22"/>
        </w:rPr>
        <w:t>: un tablero de control sin líneas base no mide nada todavía. Y el OE2 se contradice: la p. 48 registra la conformación de cuatro células ágiles como actividad ya fechada en mayo-junio de 2026, mientras las pp. 87-88 y 104 hablan de «futura implementación».</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Ecosistema digital de recursos humanos con células ágiles sobre Power Apps y SharePoint (p. 81), con modelo de roles, sprint de dos semanas, backlog de siete historias y cuatro ceremonias (pp. 83-88): es transformación digital organizacional en el sentido pleno. No llega a 5 porque todo está en nivel de diseño y ningún indicador tiene punto de partida.</w:t>
      </w:r>
    </w:p>
    <w:p>
      <w:r>
        <w:rPr>
          <w:rFonts w:ascii="Calibri" w:hAnsi="Calibri"/>
          <w:b/>
          <w:color w:val="2B2B2B"/>
          <w:sz w:val="22"/>
        </w:rPr>
        <w:t>Suma propuesta: 14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4</w:t>
      </w:r>
      <w:r>
        <w:rPr>
          <w:rFonts w:ascii="Calibri" w:hAnsi="Calibri"/>
          <w:b w:val="0"/>
          <w:color w:val="2B2B2B"/>
          <w:sz w:val="22"/>
        </w:rPr>
        <w:t xml:space="preserve"> si dan un número —el valor de línea base de cualquiera de los dieciséis indicadores y de dónde sale (pregunta prioritaria 2)— y si aclaran si las cuatro células se conformaron con personas de la empresa o el OE2 cerró en diseño (pregunta 1). El </w:t>
      </w:r>
      <w:r>
        <w:rPr>
          <w:rFonts w:ascii="Calibri" w:hAnsi="Calibri"/>
          <w:b/>
          <w:color w:val="2B2B2B"/>
          <w:sz w:val="22"/>
        </w:rPr>
        <w:t>criterio 3 pasa a 3</w:t>
      </w:r>
      <w:r>
        <w:rPr>
          <w:rFonts w:ascii="Calibri" w:hAnsi="Calibri"/>
          <w:b w:val="0"/>
          <w:color w:val="2B2B2B"/>
          <w:sz w:val="22"/>
        </w:rPr>
        <w:t xml:space="preserve"> si reconocen que el muestreo es no probabilístico por conveniencia y no lo defienden como estratificado probabilístico.</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3 baja a 1</w:t>
      </w:r>
      <w:r>
        <w:rPr>
          <w:rFonts w:ascii="Calibri" w:hAnsi="Calibri"/>
          <w:b w:val="0"/>
          <w:color w:val="2B2B2B"/>
          <w:sz w:val="22"/>
        </w:rPr>
        <w:t xml:space="preserve"> si defienden el muestreo probabilístico sin poder dar marco ni error. </w:t>
      </w:r>
      <w:r>
        <w:rPr>
          <w:rFonts w:ascii="Calibri" w:hAnsi="Calibri"/>
          <w:b/>
          <w:color w:val="2B2B2B"/>
          <w:sz w:val="22"/>
        </w:rPr>
        <w:t>Turno de riesgo:</w:t>
      </w:r>
      <w:r>
        <w:rPr>
          <w:rFonts w:ascii="Calibri" w:hAnsi="Calibri"/>
          <w:b w:val="0"/>
          <w:color w:val="2B2B2B"/>
          <w:sz w:val="22"/>
        </w:rPr>
        <w:t xml:space="preserve"> cierran la jornada del martes detrás de ocho grupos; si hay retraso acumulado, van solo las preguntas 1 y 2.</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Línea de profundización discrepante.</w:t>
      </w:r>
      <w:r>
        <w:rPr>
          <w:rFonts w:ascii="Calibri" w:hAnsi="Calibri"/>
          <w:b w:val="0"/>
          <w:color w:val="2B2B2B"/>
          <w:sz w:val="22"/>
        </w:rPr>
        <w:t xml:space="preserve"> Cronograma de la Dirección: «Arquitectura y estrategias para la transformación digital en las organizaciones». Portada del trabajo: «Gestión y Tecnología» (p. 1). Página 2: en blanco. </w:t>
      </w:r>
      <w:r>
        <w:rPr>
          <w:rFonts w:ascii="Calibri" w:hAnsi="Calibri"/>
          <w:b/>
          <w:color w:val="2B2B2B"/>
          <w:sz w:val="22"/>
        </w:rPr>
        <w:t>Confirmar con la Dirección con cuál queda el acta</w:t>
      </w:r>
      <w:r>
        <w:rPr>
          <w:rFonts w:ascii="Calibri" w:hAnsi="Calibri"/>
          <w:b w:val="0"/>
          <w:color w:val="2B2B2B"/>
          <w:sz w:val="22"/>
        </w:rPr>
        <w:t xml:space="preserve"> antes de firmar.</w:t>
      </w:r>
    </w:p>
    <w:p>
      <w:pPr>
        <w:pStyle w:val="ListNumber"/>
      </w:pPr>
      <w:r>
        <w:rPr>
          <w:rFonts w:ascii="Calibri" w:hAnsi="Calibri"/>
          <w:b/>
          <w:color w:val="2B2B2B"/>
          <w:sz w:val="22"/>
        </w:rPr>
        <w:t>Equipo de dos integrantes:</w:t>
      </w:r>
      <w:r>
        <w:rPr>
          <w:rFonts w:ascii="Calibri" w:hAnsi="Calibri"/>
          <w:b w:val="0"/>
          <w:color w:val="2B2B2B"/>
          <w:sz w:val="22"/>
        </w:rPr>
        <w:t xml:space="preserve"> cumple el máximo de tres de Proyecto II. Sin observación.</w:t>
      </w:r>
    </w:p>
    <w:p>
      <w:pPr>
        <w:pStyle w:val="ListNumber"/>
      </w:pPr>
      <w:r>
        <w:rPr>
          <w:rFonts w:ascii="Calibri" w:hAnsi="Calibri"/>
          <w:b/>
          <w:color w:val="2B2B2B"/>
          <w:sz w:val="22"/>
        </w:rPr>
        <w:t>La directora del trabajo es María Fernanda Rivera Sanclemente</w:t>
      </w:r>
      <w:r>
        <w:rPr>
          <w:rFonts w:ascii="Calibri" w:hAnsi="Calibri"/>
          <w:b w:val="0"/>
          <w:color w:val="2B2B2B"/>
          <w:sz w:val="22"/>
        </w:rPr>
        <w:t xml:space="preserve"> (p. 2), la misma directora/moderadora de la sesión. Es lo habitual en el programa; solo conviene tenerlo presente al leer el 75 % del metodólogo frente al 25 % de jurados.</w:t>
      </w:r>
    </w:p>
    <w:p>
      <w:pPr>
        <w:pStyle w:val="ListNumber"/>
      </w:pPr>
      <w:r>
        <w:rPr>
          <w:rFonts w:ascii="Calibri" w:hAnsi="Calibri"/>
          <w:b/>
          <w:color w:val="2B2B2B"/>
          <w:sz w:val="22"/>
        </w:rPr>
        <w:t>No hay informe de similitud ni declaración de uso de IA generativa</w:t>
      </w:r>
      <w:r>
        <w:rPr>
          <w:rFonts w:ascii="Calibri" w:hAnsi="Calibri"/>
          <w:b w:val="0"/>
          <w:color w:val="2B2B2B"/>
          <w:sz w:val="22"/>
        </w:rPr>
        <w:t xml:space="preserve"> en las 126 páginas. Pedírselo al metodólogo o a la Dirección, </w:t>
      </w:r>
      <w:r>
        <w:rPr>
          <w:rFonts w:ascii="Calibri" w:hAnsi="Calibri"/>
          <w:b/>
          <w:color w:val="2B2B2B"/>
          <w:sz w:val="22"/>
        </w:rPr>
        <w:t>no</w:t>
      </w:r>
      <w:r>
        <w:rPr>
          <w:rFonts w:ascii="Calibri" w:hAnsi="Calibri"/>
          <w:b w:val="0"/>
          <w:color w:val="2B2B2B"/>
          <w:sz w:val="22"/>
        </w:rPr>
        <w:t xml:space="preserve"> al grupo en la sala.</w:t>
      </w:r>
    </w:p>
    <w:p>
      <w:pPr>
        <w:pStyle w:val="ListNumber"/>
      </w:pPr>
      <w:r>
        <w:rPr>
          <w:rFonts w:ascii="Calibri" w:hAnsi="Calibri"/>
          <w:b/>
          <w:color w:val="2B2B2B"/>
          <w:sz w:val="22"/>
        </w:rPr>
        <w:t>No hay carta de aval o autorización de la empresa</w:t>
      </w:r>
      <w:r>
        <w:rPr>
          <w:rFonts w:ascii="Calibri" w:hAnsi="Calibri"/>
          <w:b w:val="0"/>
          <w:color w:val="2B2B2B"/>
          <w:sz w:val="22"/>
        </w:rPr>
        <w:t xml:space="preserve"> entre los anexos (pp. 113-126), pese a un trabajo de campo con 175 participantes: los cinco anexos son cronograma (p. 113), presupuesto (p. 115), encuesta (p. 116), guía de entrevista (p. 123) y validación (p. 125), y las palabras «autorización», «aval» y «carta» tienen cero apariciones en las 126 páginas. Es lo que pregunta </w:t>
      </w:r>
      <w:r>
        <w:rPr>
          <w:rFonts w:ascii="Calibri" w:hAnsi="Calibri"/>
          <w:b/>
          <w:color w:val="2B2B2B"/>
          <w:sz w:val="22"/>
        </w:rPr>
        <w:t>P3</w:t>
      </w:r>
      <w:r>
        <w:rPr>
          <w:rFonts w:ascii="Calibri" w:hAnsi="Calibri"/>
          <w:b w:val="0"/>
          <w:color w:val="2B2B2B"/>
          <w:sz w:val="22"/>
        </w:rPr>
        <w:t xml:space="preserve"> en sala; si la respuesta es que no hubo documento, esto pasa a ser observación para la Dirección.</w:t>
      </w:r>
    </w:p>
    <w:p>
      <w:pPr>
        <w:pStyle w:val="ListNumber"/>
      </w:pPr>
      <w:r>
        <w:rPr>
          <w:rFonts w:ascii="Calibri" w:hAnsi="Calibri"/>
          <w:b/>
          <w:color w:val="2B2B2B"/>
          <w:sz w:val="22"/>
        </w:rPr>
        <w:t>Anexo 3:</w:t>
      </w:r>
      <w:r>
        <w:rPr>
          <w:rFonts w:ascii="Calibri" w:hAnsi="Calibri"/>
          <w:b w:val="0"/>
          <w:color w:val="2B2B2B"/>
          <w:sz w:val="22"/>
        </w:rPr>
        <w:t xml:space="preserve"> el instrumento se entrega como enlace a Google Forms en modo </w:t>
      </w:r>
      <w:r>
        <w:rPr>
          <w:rFonts w:ascii="Consolas" w:hAnsi="Consolas"/>
          <w:color w:val="111111"/>
          <w:sz w:val="21"/>
        </w:rPr>
        <w:t>preview</w:t>
      </w:r>
      <w:r>
        <w:rPr>
          <w:rFonts w:ascii="Calibri" w:hAnsi="Calibri"/>
          <w:b w:val="0"/>
          <w:color w:val="2B2B2B"/>
          <w:sz w:val="22"/>
        </w:rPr>
        <w:t xml:space="preserve"> (p. 116) y las pp. 117-122 son imágenes sin texto extraíble. Si alguien quiere auditar la encuesta, quizá necesite sesión activa.</w:t>
      </w:r>
    </w:p>
    <w:p>
      <w:pPr>
        <w:pStyle w:val="ListNumber"/>
      </w:pPr>
      <w:r>
        <w:rPr>
          <w:rFonts w:ascii="Calibri" w:hAnsi="Calibri"/>
          <w:b/>
          <w:color w:val="2B2B2B"/>
          <w:sz w:val="22"/>
        </w:rPr>
        <w:t>Cronograma del Anexo 1</w:t>
      </w:r>
      <w:r>
        <w:rPr>
          <w:rFonts w:ascii="Calibri" w:hAnsi="Calibri"/>
          <w:b w:val="0"/>
          <w:color w:val="2B2B2B"/>
          <w:sz w:val="22"/>
        </w:rPr>
        <w:t xml:space="preserve"> (p. 113): cubre noviembre, diciembre, mayo, junio, julio y agosto, con cuatro meses sin actividad entre diciembre y mayo, mientras la p. 47 declara «seis meses con hitos mensuales» y fecha la fase 2 en «Meses 3–4: mayo-junio 2026». La dp. 8 proyecta esas mismas fechas, así que el salto de cuatro meses entre «Meses 1–2: noviembre – diciembre 2025» y «Meses 3–4: mayo – junio 2026» queda a la vista de la sala (§5, punto 1). Dato para el metodólogo, no para la sala.</w:t>
      </w:r>
    </w:p>
    <w:p>
      <w:pPr>
        <w:pStyle w:val="ListNumber"/>
      </w:pPr>
      <w:r>
        <w:rPr>
          <w:rFonts w:ascii="Calibri" w:hAnsi="Calibri"/>
          <w:b/>
          <w:color w:val="2B2B2B"/>
          <w:sz w:val="22"/>
        </w:rPr>
        <w:t>Turno de riesgo:</w:t>
      </w:r>
      <w:r>
        <w:rPr>
          <w:rFonts w:ascii="Calibri" w:hAnsi="Calibri"/>
          <w:b w:val="0"/>
          <w:color w:val="2B2B2B"/>
          <w:sz w:val="22"/>
        </w:rPr>
        <w:t xml:space="preserve"> son el último grupo del martes (8:40–9:00 p.m.), detrás de ocho grupos. Si el día acumula retraso, ir con </w:t>
      </w:r>
      <w:r>
        <w:rPr>
          <w:rFonts w:ascii="Calibri" w:hAnsi="Calibri"/>
          <w:b/>
          <w:color w:val="2B2B2B"/>
          <w:sz w:val="22"/>
        </w:rPr>
        <w:t>P1 y P2</w:t>
      </w:r>
      <w:r>
        <w:rPr>
          <w:rFonts w:ascii="Calibri" w:hAnsi="Calibri"/>
          <w:b w:val="0"/>
          <w:color w:val="2B2B2B"/>
          <w:sz w:val="22"/>
        </w:rPr>
        <w:t xml:space="preserve"> solamente (con la terna nueva son las dos que definen el alcance real; la §8 y la §8.1 quedaron escritas con la terna anterior y ahí dicen «preguntas 1 y 3» —no se tocan, las genera otro script—).</w:t>
      </w:r>
    </w:p>
    <w:p>
      <w:pPr>
        <w:pStyle w:val="ListNumber"/>
      </w:pPr>
      <w:r>
        <w:rPr>
          <w:rFonts w:ascii="Calibri" w:hAnsi="Calibri"/>
          <w:b/>
          <w:color w:val="2B2B2B"/>
          <w:sz w:val="22"/>
        </w:rPr>
        <w:t>Correos institucionales de las dos integrantes correctos</w:t>
      </w:r>
      <w:r>
        <w:rPr>
          <w:rFonts w:ascii="Calibri" w:hAnsi="Calibri"/>
          <w:b w:val="0"/>
          <w:color w:val="2B2B2B"/>
          <w:sz w:val="22"/>
        </w:rPr>
        <w:t xml:space="preserve"> en el cronograma (dominio </w:t>
      </w:r>
      <w:r>
        <w:rPr>
          <w:rFonts w:ascii="Consolas" w:hAnsi="Consolas"/>
          <w:color w:val="111111"/>
          <w:sz w:val="21"/>
        </w:rPr>
        <w:t>@cun.edu.co</w:t>
      </w:r>
      <w:r>
        <w:rPr>
          <w:rFonts w:ascii="Calibri" w:hAnsi="Calibri"/>
          <w:b w:val="0"/>
          <w:color w:val="2B2B2B"/>
          <w:sz w:val="22"/>
        </w:rPr>
        <w:t>). Sin observación.</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