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11 · 26ET2-G-011 — Intranet CDS: solución tecnológica para optimizar la atención al cliente en la solicitud de servicios de asistencia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miércoles 19 de agosto de 2026 · 6:20 – 6:40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Flor Ángela Hernández González: 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</w:t>
      </w:r>
      <w:r>
        <w:rPr>
          <w:rFonts w:ascii="Calibri" w:hAnsi="Calibri"/>
          <w:b/>
          <w:i/>
          <w:color w:val="2B2B2B"/>
          <w:sz w:val="21"/>
        </w:rPr>
        <w:t>No existe ningún archivo en la carpeta del grupo</w:t>
      </w:r>
      <w:r>
        <w:rPr>
          <w:rFonts w:ascii="Calibri" w:hAnsi="Calibri"/>
          <w:b w:val="0"/>
          <w:i/>
          <w:color w:val="2B2B2B"/>
          <w:sz w:val="21"/>
        </w:rPr>
        <w:t xml:space="preserve"> (verificado el 15/08/2026, 0 archivos). Las tres preguntas salen solo del título y del objetivo general del cronograma. </w:t>
      </w:r>
      <w:r>
        <w:rPr>
          <w:rFonts w:ascii="Calibri" w:hAnsi="Calibri"/>
          <w:b/>
          <w:i/>
          <w:color w:val="2B2B2B"/>
          <w:sz w:val="21"/>
        </w:rPr>
        <w:t>Esta hoja es la única evidencia que va a existir de este proyecto</w:t>
      </w:r>
      <w:r>
        <w:rPr>
          <w:rFonts w:ascii="Calibri" w:hAnsi="Calibri"/>
          <w:b w:val="0"/>
          <w:i/>
          <w:color w:val="2B2B2B"/>
          <w:sz w:val="21"/>
        </w:rPr>
        <w:t xml:space="preserve">, así que aquí se escribe más que en las otras doce. Antes de la sala: preguntarle al director si el documento se entregó en CUN Digital — si se entregó y solo no llegó a los jurados, el vacío es administrativo y </w:t>
      </w:r>
      <w:r>
        <w:rPr>
          <w:rFonts w:ascii="Calibri" w:hAnsi="Calibri"/>
          <w:b/>
          <w:i/>
          <w:color w:val="2B2B2B"/>
          <w:sz w:val="21"/>
        </w:rPr>
        <w:t>no debe castigar la nota académica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(§8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Ver la intranet funcionando o evidencia fechada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Un indicador con línea base y medición posterior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Respuesta solvente sobre aval y datos personales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Enunciar objetivos y cerrar cada uno con un resultado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Declarar sus límites sin que se los pregunten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mostró el sistema funcionando → la P1 ya pide la pantalla; ir al segundo escalón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«¿en qué servidor o en qué dirección está instalada, y quién puede abrirla?»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dijo que está en producción → pedir fecha de puesta en marcha, área dueña y número de usuarios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«¿Desde qué fecha, cuántos usuarios y quién le da soporte hoy?»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dio cifras de mejora (por ejemplo, un 60 % de reducción del tiempo) → (Una cifra sin denominador no es un resultado. La cifra del ejemplo es hipotética y no se lee en sala.)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«¿Sobre cuántas bases, en qué periodo y medido cómo?»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dijo que usó datos reales de clientes → P3: aval de la empresa y anonimización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«¿Anonimizados? ¿Con qué autorización?»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remite el indicador a lo escrito («está en el documento», «está en los anexos») → insistir por el número aproximado, sin mencionar nunca en sala que el documento no llegó a los jurados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«no importa el dato exacto: deme el número aproximado, de memoria»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habló solo de la herramienta y nada del método → pedir el diseño y los instrumentos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«¿Cuál fue el alcance de su estudio y cómo sostiene metodológicamente la afirmación de que hubo optimización?»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enunció los objetivos específicos → reserva 4: pedirlos y pedir el resultado de cada uno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pasó del tiempo y saltó los resultados → ir directo al último objetivo específico que haya alcanzado a mencionar: (El objetivo que se salta suele ser el que no se ejecutó.)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«¿Del objetivo N, qué resultado concreto obtuvo?»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declaró ninguna limitación → preguntarle qué quedó fuera del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afirmó en sala que sí entregó el documento → anotarlo textual y llevarlo a la Dirección, no discutirlo en sala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aparece un segundo expositor no registrado en el cronograma → dejarlo exponer con normalidad y anotarlo como observación administrativa para la Dirección; jamás cuestionar en sala la conformación del equipo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respondió «no sé» con honestidad y reconduciendo a trabajo futuro → suma en defensa; anotarlo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 Este grupo no tiene documento: lo que no quede escrito aquí no va a existir en ninguna otra parte.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Abrir la intranet ahora, o decir dónde está instalada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objetivo general que quedó inscrito en el cronograma dice “diseñar e implementar”. Comparta pantalla, por favor, y ábrame la intranet ahora. Si no la puede abrir aquí, dígame la URL o el nombre del servidor donde está instalada; y si no está instalada en ninguna parte, dígalo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Cuántos minutos tarda hoy higienizar y validar una base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objetivo general dice “estandarizar, automatizar y optimizar el proceso”, y el título promete “optimizar la atención al cliente”. ¿Cuántos minutos tarda hoy un operador del CDS en higienizar y validar una base de un cliente? Aproximado y de memoria me sirve, pero deme el número. Si nunca se midió, dígalo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Quién autorizó el uso de las bases: nombre, cargo y mes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«Nombre y cargo: ¿quién en la empresa autorizó el uso de las bases de datos enviadas por los clientes, y en qué mes se dio esa autorización? Si el permiso fue verbal, o si nadie lo dio, dígalo así.»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los objetivos específicos, uno por uno, con su resultado (reserva 4) · qué es el CDS y cuántas bases procesa al mes (reserva 5) · un ejemplo de error típico que la intranet corrige (reserva 6) · quién sostiene el sistema cuando no esté (reserva 7)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criterio «coherencia del documento» no tiene base probatoria aquí:</w:t>
      </w:r>
      <w:r>
        <w:rPr>
          <w:rFonts w:ascii="Calibri" w:hAnsi="Calibri"/>
          <w:b w:val="0"/>
          <w:color w:val="2B2B2B"/>
          <w:sz w:val="22"/>
        </w:rPr>
        <w:t xml:space="preserve"> no hay documento. Sin documento no puedo sustentar por escrito un 4,6 en ese criterio.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3,6–4,5:</w:t>
      </w:r>
      <w:r>
        <w:rPr>
          <w:rFonts w:ascii="Calibri" w:hAnsi="Calibri"/>
          <w:b w:val="0"/>
          <w:color w:val="2B2B2B"/>
          <w:sz w:val="22"/>
        </w:rPr>
        <w:t xml:space="preserve"> producto demostrado y proceso bien explicado, pero «optimización» sin línea base. </w:t>
      </w:r>
      <w:r>
        <w:rPr>
          <w:rFonts w:ascii="Calibri" w:hAnsi="Calibri"/>
          <w:b/>
          <w:color w:val="2B2B2B"/>
          <w:sz w:val="22"/>
        </w:rPr>
        <w:t>Aquí cae razonablemente si sustenta bien y el documento sigue ausente.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0,1–2,9:</w:t>
      </w:r>
      <w:r>
        <w:rPr>
          <w:rFonts w:ascii="Calibri" w:hAnsi="Calibri"/>
          <w:b w:val="0"/>
          <w:color w:val="2B2B2B"/>
          <w:sz w:val="22"/>
        </w:rPr>
        <w:t xml:space="preserve"> una nota en este rango con documento ausente exige acta y respaldo del director: no se pone en solitario.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3,6 – 4,5 si sustenta bien; el vacío documental se resuelve con la Dirección, no en sala.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Este grupo no entregó documento ni presentación</w:t>
      </w:r>
      <w:r>
        <w:rPr>
          <w:rFonts w:ascii="Calibri" w:hAnsi="Calibri"/>
          <w:b w:val="0"/>
          <w:color w:val="2B2B2B"/>
          <w:sz w:val="22"/>
        </w:rPr>
        <w:t xml:space="preserve"> (cero archivos, verificado el 15/08/2026). Los cinco criterios se responden con el escrito, así que </w:t>
      </w:r>
      <w:r>
        <w:rPr>
          <w:rFonts w:ascii="Calibri" w:hAnsi="Calibri"/>
          <w:b/>
          <w:color w:val="2B2B2B"/>
          <w:sz w:val="22"/>
        </w:rPr>
        <w:t>ninguno pasa de 3</w:t>
      </w:r>
      <w:r>
        <w:rPr>
          <w:rFonts w:ascii="Calibri" w:hAnsi="Calibri"/>
          <w:b w:val="0"/>
          <w:color w:val="2B2B2B"/>
          <w:sz w:val="22"/>
        </w:rPr>
        <w:t>: por encima de 3 la escala afirma calidad verificable, y aquí no hay qué verificar. Marcar por lo que se escuche y dejar la constancia de abajo.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con orden y objetivos cerrados </w:t>
      </w:r>
      <w:r>
        <w:rPr>
          <w:rFonts w:ascii="Calibri" w:hAnsi="Calibri"/>
          <w:b/>
          <w:color w:val="2B2B2B"/>
          <w:sz w:val="22"/>
        </w:rPr>
        <w:t>3</w:t>
      </w:r>
      <w:r>
        <w:rPr>
          <w:rFonts w:ascii="Calibri" w:hAnsi="Calibri"/>
          <w:b w:val="0"/>
          <w:color w:val="2B2B2B"/>
          <w:sz w:val="22"/>
        </w:rPr>
        <w:t xml:space="preserve">; si no,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con orden y objetivos cerrados </w:t>
      </w:r>
      <w:r>
        <w:rPr>
          <w:rFonts w:ascii="Calibri" w:hAnsi="Calibri"/>
          <w:b/>
          <w:color w:val="2B2B2B"/>
          <w:sz w:val="22"/>
        </w:rPr>
        <w:t>2</w:t>
      </w:r>
      <w:r>
        <w:rPr>
          <w:rFonts w:ascii="Calibri" w:hAnsi="Calibri"/>
          <w:b w:val="0"/>
          <w:color w:val="2B2B2B"/>
          <w:sz w:val="22"/>
        </w:rPr>
        <w:t xml:space="preserve">; si no, </w:t>
      </w:r>
      <w:r>
        <w:rPr>
          <w:rFonts w:ascii="Calibri" w:hAnsi="Calibri"/>
          <w:b/>
          <w:color w:val="2B2B2B"/>
          <w:sz w:val="22"/>
        </w:rPr>
        <w:t>1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con orden y objetivos cerrados </w:t>
      </w:r>
      <w:r>
        <w:rPr>
          <w:rFonts w:ascii="Calibri" w:hAnsi="Calibri"/>
          <w:b/>
          <w:color w:val="2B2B2B"/>
          <w:sz w:val="22"/>
        </w:rPr>
        <w:t>2</w:t>
      </w:r>
      <w:r>
        <w:rPr>
          <w:rFonts w:ascii="Calibri" w:hAnsi="Calibri"/>
          <w:b w:val="0"/>
          <w:color w:val="2B2B2B"/>
          <w:sz w:val="22"/>
        </w:rPr>
        <w:t xml:space="preserve">; si no, </w:t>
      </w:r>
      <w:r>
        <w:rPr>
          <w:rFonts w:ascii="Calibri" w:hAnsi="Calibri"/>
          <w:b/>
          <w:color w:val="2B2B2B"/>
          <w:sz w:val="22"/>
        </w:rPr>
        <w:t>1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con orden y objetivos cerrados </w:t>
      </w:r>
      <w:r>
        <w:rPr>
          <w:rFonts w:ascii="Calibri" w:hAnsi="Calibri"/>
          <w:b/>
          <w:color w:val="2B2B2B"/>
          <w:sz w:val="22"/>
        </w:rPr>
        <w:t>2</w:t>
      </w:r>
      <w:r>
        <w:rPr>
          <w:rFonts w:ascii="Calibri" w:hAnsi="Calibri"/>
          <w:b w:val="0"/>
          <w:color w:val="2B2B2B"/>
          <w:sz w:val="22"/>
        </w:rPr>
        <w:t xml:space="preserve">; si no, </w:t>
      </w:r>
      <w:r>
        <w:rPr>
          <w:rFonts w:ascii="Calibri" w:hAnsi="Calibri"/>
          <w:b/>
          <w:color w:val="2B2B2B"/>
          <w:sz w:val="22"/>
        </w:rPr>
        <w:t>1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con orden y objetivos cerrados </w:t>
      </w:r>
      <w:r>
        <w:rPr>
          <w:rFonts w:ascii="Calibri" w:hAnsi="Calibri"/>
          <w:b/>
          <w:color w:val="2B2B2B"/>
          <w:sz w:val="22"/>
        </w:rPr>
        <w:t>3</w:t>
      </w:r>
      <w:r>
        <w:rPr>
          <w:rFonts w:ascii="Calibri" w:hAnsi="Calibri"/>
          <w:b w:val="0"/>
          <w:color w:val="2B2B2B"/>
          <w:sz w:val="22"/>
        </w:rPr>
        <w:t xml:space="preserve">; si no,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escenarios de referencia: </w:t>
      </w:r>
      <w:r>
        <w:rPr>
          <w:rFonts w:ascii="Calibri" w:hAnsi="Calibri"/>
          <w:b/>
          <w:color w:val="2B2B2B"/>
          <w:sz w:val="22"/>
        </w:rPr>
        <w:t>12 / 25</w:t>
      </w:r>
      <w:r>
        <w:rPr>
          <w:rFonts w:ascii="Calibri" w:hAnsi="Calibri"/>
          <w:b w:val="0"/>
          <w:color w:val="2B2B2B"/>
          <w:sz w:val="22"/>
        </w:rPr>
        <w:t xml:space="preserve"> si expone con orden y cierra sus objetivos, </w:t>
      </w:r>
      <w:r>
        <w:rPr>
          <w:rFonts w:ascii="Calibri" w:hAnsi="Calibri"/>
          <w:b/>
          <w:color w:val="2B2B2B"/>
          <w:sz w:val="22"/>
        </w:rPr>
        <w:t>7 / 25</w:t>
      </w:r>
      <w:r>
        <w:rPr>
          <w:rFonts w:ascii="Calibri" w:hAnsi="Calibri"/>
          <w:b w:val="0"/>
          <w:color w:val="2B2B2B"/>
          <w:sz w:val="22"/>
        </w:rPr>
        <w:t xml:space="preserve"> si no los cierra.</w:t>
      </w:r>
    </w:p>
    <w:p>
      <w:r>
        <w:rPr>
          <w:rFonts w:ascii="Calibri" w:hAnsi="Calibri"/>
          <w:b/>
          <w:color w:val="2B2B2B"/>
          <w:sz w:val="22"/>
        </w:rPr>
        <w:t>Constancia obligatoria en el formulario y en el acta, copiar tal cual:</w:t>
      </w:r>
      <w:r>
        <w:rPr>
          <w:rFonts w:ascii="Calibri" w:hAnsi="Calibri"/>
          <w:b w:val="0"/>
          <w:color w:val="2B2B2B"/>
          <w:sz w:val="22"/>
        </w:rPr>
        <w:t xml:space="preserve"> «respondido únicamente sobre la exposición oral; el grupo no entregó trabajo de grado ni presentación a la carpeta de jurados (verificado el 15/08/2026)». Sin esa frase, un 2 se lee como juicio sobre el trabajo, y el hallazgo es que no hay trabajo que leer.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