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13 · 26ET2-G-013 — Estrategia de optimización e implementación de tecnologías digitales en la Tesorería de las cooperativas financieras de Bogotá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miércoles 19 de agosto de 2026 · 7:00 – 7:20 p. m. (cierra las dos jornadas)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Eliana Vianeth Gaitán Garzón — trabajo individual: 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⚠️ Trabajo individual y su directora es la moderadora de la sala. Cierra las dos jornadas: si el bloque va retrasado, el tiempo que falte no es su culpa. Si la directora ya preguntó por la muestra o por el prototipo, no repetir.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(§7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expone la diapositiva 16 «Resultados esperados» como si fueran resultados obtenidos → P1, directa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«El 25% de eficiencia y el 60% de tiempo reasignado, ¿son medición de su prototipo o la proyección de McKinsey que cita en la página 15?»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muestra el sistema funcionando → P1: sin prototipo demostrable no hay 4,6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contesta «ilustrativa» en la P1 → no insistir: es la respuesta honesta y sube; reserva 4 (el informe de pruebas) solo si sobra tiempo  </w:t>
      </w:r>
      <w:r>
        <w:rPr>
          <w:rFonts w:ascii="Calibri" w:hAnsi="Calibri"/>
          <w:b/>
          <w:color w:val="2B2B2B"/>
          <w:sz w:val="22"/>
        </w:rPr>
        <w:t>(p. 42)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muestra el sistema funcionando → pedir volumen de registros y archivo de datos simulados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«¿Qué pasa cuando el archivo del banco trae una transacción duplicada o una fecha inválida? La página 63 dice que hay reglas de calidad: muéstreme el registro que el sistema rechaza.»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 que aplicó entrevistas a directivos y a TI → la metodología las anuncia (p. 33) y el capítulo 9 no reporta ni una línea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«¿Cuántas, en qué fechas, y qué hallazgo del capítulo 9 sale de ellas y no de la encuesta?»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dice n = 10 en la exposición → P2: cuántos de los diez son de Tesorería  </w:t>
      </w:r>
      <w:r>
        <w:rPr>
          <w:rFonts w:ascii="Calibri" w:hAnsi="Calibri"/>
          <w:b/>
          <w:color w:val="2B2B2B"/>
          <w:sz w:val="22"/>
        </w:rPr>
        <w:t>(pp. 77-85)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«El anexo trae tres formularios diligenciados (pp. 77-85). ¿Dónde están los otros siete?»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dice que los diez encuestados son de Tesorería → el anexo dice otra cosa en las tres hojas legibles  </w:t>
      </w:r>
      <w:r>
        <w:rPr>
          <w:rFonts w:ascii="Calibri" w:hAnsi="Calibri"/>
          <w:b/>
          <w:color w:val="2B2B2B"/>
          <w:sz w:val="22"/>
        </w:rPr>
        <w:t>(pp. 77, 80, 83)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las tres encuestas escaneadas que se pueden leer, las áreas manuscritas son Control operativo, Contabilidad y Cartera: ¿de dónde sale la clasificación de la página 45?»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contesta «en una» a la P3 → dejarla lucirse, no cerrar ahí  </w:t>
      </w:r>
      <w:r>
        <w:rPr>
          <w:rFonts w:ascii="Calibri" w:hAnsi="Calibri"/>
          <w:b/>
          <w:color w:val="2B2B2B"/>
          <w:sz w:val="22"/>
        </w:rPr>
        <w:t>(p. 31)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«nómbreme las tres condiciones que otra cooperativa de Bogotá tendría que cumplir para que el MACM le sirva tal como está»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presenta el 94,2 % como logro del proyecto → pedir el denominador y cuadrarlo: 12 ÷ (1 − 0,942) ≈ 207 movimientos  </w:t>
      </w:r>
      <w:r>
        <w:rPr>
          <w:rFonts w:ascii="Calibri" w:hAnsi="Calibri"/>
          <w:b/>
          <w:color w:val="2B2B2B"/>
          <w:sz w:val="22"/>
        </w:rPr>
        <w:t>(p. 62)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declara que el MACM ya está en operación en la cooperativa → pedir fecha, área y evidencia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«Entonces la limitación de la página 19 y la afirmación de la página 37 hay que corregirlas; ¿desde cuándo opera y quién lo usa hoy?»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le acaba el tiempo y salta los resultados → preguntar únicamente por el objetivo 3 (pregunta 1)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el discurso queda en generalidades sobre transformación digital → P3, la de transferibilidad  </w:t>
      </w:r>
      <w:r>
        <w:rPr>
          <w:rFonts w:ascii="Calibri" w:hAnsi="Calibri"/>
          <w:b/>
          <w:color w:val="2B2B2B"/>
          <w:sz w:val="22"/>
        </w:rPr>
        <w:t>(p. 63)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«Explíqueme el paso de conciliación: llega el CSV del banco, ¿con qué campos cruza la transacción y qué tolerancia usa en valor y en fecha?»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lee las diapositivas → dejar constancia en y pedir que explique el diagrama de la p. 65 sin mirar la pantalla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expone sin equipo y domina el tema → registrarlo a favor: en un trabajo individual, todo el dominio y toda la defensa recaen en una sola persona; no hay a quién repartirle la pregunta difícil, y eso merece reconocerse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Resultado medido o cifra ilustrativa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 página 64 dice que se “reprodujo el comportamiento esperado”. Para el acta necesito saber cuál de las dos cosas es el 94,2 % del panel de la imagen inferior de la página 62: ¿un resultado medido sobre un archivo de movimientos, o una cifra ilustrativa de la maqueta de interfaz? Si es lo primero, cuántos movimientos traía el archivo.»</w:t>
      </w:r>
    </w:p>
    <w:p>
      <w:r>
        <w:rPr>
          <w:rFonts w:ascii="Consolas" w:hAnsi="Consolas"/>
          <w:color w:val="111111"/>
          <w:sz w:val="21"/>
        </w:rPr>
        <w:t>Es la imagen INFERIOR de la p. 62; la superior es la banda FASE 01-04. Si da cifra: 12 ÷ (1 − 0,942) ≈ 207 movimientos.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Cuántos de los diez son de Tesorería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 página 45 caracteriza los diez encuestados y las tres encuestas escaneadas del anexo traen escritas a mano las áreas Control operativo, CONTABILIDAD y Cartera. De esos diez encuestados, ¿cuántos pertenecen al área de Tesorería? Dígame el número.»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En cuántas cooperativas de Bogotá aplicó el instrumento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título de la portada y el objetivo general de la página 16 hablan de las cooperativas financieras de la ciudad de Bogotá. ¿En cuántas cooperativas de Bogotá aplicó usted el instrumento? Dígame el número.»</w:t>
      </w:r>
    </w:p>
    <w:p>
      <w:r>
        <w:rPr>
          <w:rFonts w:ascii="Consolas" w:hAnsi="Consolas"/>
          <w:color w:val="111111"/>
          <w:sz w:val="21"/>
        </w:rPr>
        <w:t>La respuesta es «en una». Si la dice: pedirle las tres condiciones de transferibilidad (condicional de §B).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el informe de pruebas anunciado en la p. 42 (reserva 4) · la antigüedad «entre 1 y 4 años» que no existe en su instrumento (reserva 5) · alcance frente a procedimiento (reserva 7) · el flujo de conciliación con sus campos y sus reglas, sin leer la diapositiva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Dominio:</w:t>
      </w:r>
      <w:r>
        <w:rPr>
          <w:rFonts w:ascii="Calibri" w:hAnsi="Calibri"/>
          <w:b w:val="0"/>
          <w:color w:val="2B2B2B"/>
          <w:sz w:val="22"/>
        </w:rPr>
        <w:t xml:space="preserve"> su fortaleza probable. Para 4,6+, que explique el flujo de conciliación con campos y reglas sin leer la diapositiva.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Claridad:</w:t>
      </w:r>
      <w:r>
        <w:rPr>
          <w:rFonts w:ascii="Calibri" w:hAnsi="Calibri"/>
          <w:b w:val="0"/>
          <w:color w:val="2B2B2B"/>
          <w:sz w:val="22"/>
        </w:rPr>
        <w:t xml:space="preserve"> si en 12 minutos no aparece su propia evidencia (encuesta y MACM corriendo), se queda en 3,6–4,0 por desbalance entre contexto y resultados.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Coherencia:</w:t>
      </w:r>
      <w:r>
        <w:rPr>
          <w:rFonts w:ascii="Calibri" w:hAnsi="Calibri"/>
          <w:b w:val="0"/>
          <w:color w:val="2B2B2B"/>
          <w:sz w:val="22"/>
        </w:rPr>
        <w:t xml:space="preserve"> el criterio más débil, sostenido con página (p. 19 vs. 41-43; p. 33 vs. 45; p. 16 vs. 61-68): por sí solo no pasa de 3,4–3,8.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Defensa:</w:t>
      </w:r>
      <w:r>
        <w:rPr>
          <w:rFonts w:ascii="Calibri" w:hAnsi="Calibri"/>
          <w:b w:val="0"/>
          <w:color w:val="2B2B2B"/>
          <w:sz w:val="22"/>
        </w:rPr>
        <w:t xml:space="preserve"> aquí recupera. Con las tres preguntas respondidas y el prototipo demostrado, 4,4–4,6; si esquiva, 3,2–3,5.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4,6 o más</w:t>
      </w:r>
      <w:r>
        <w:rPr>
          <w:rFonts w:ascii="Calibri" w:hAnsi="Calibri"/>
          <w:b w:val="0"/>
          <w:color w:val="2B2B2B"/>
          <w:sz w:val="22"/>
        </w:rPr>
        <w:t xml:space="preserve"> exige prototipo procesando datos simulados con volumen declarado </w:t>
      </w:r>
      <w:r>
        <w:rPr>
          <w:rFonts w:ascii="Calibri" w:hAnsi="Calibri"/>
          <w:b/>
          <w:color w:val="2B2B2B"/>
          <w:sz w:val="22"/>
        </w:rPr>
        <w:t>y</w:t>
      </w:r>
      <w:r>
        <w:rPr>
          <w:rFonts w:ascii="Calibri" w:hAnsi="Calibri"/>
          <w:b w:val="0"/>
          <w:color w:val="2B2B2B"/>
          <w:sz w:val="22"/>
        </w:rPr>
        <w:t xml:space="preserve"> distinguir lo aplicado (encuesta) de lo planeado (entrevistas). </w:t>
      </w:r>
      <w:r>
        <w:rPr>
          <w:rFonts w:ascii="Calibri" w:hAnsi="Calibri"/>
          <w:b/>
          <w:color w:val="2B2B2B"/>
          <w:sz w:val="22"/>
        </w:rPr>
        <w:t>Meritoria: no la propondría.</w:t>
      </w:r>
    </w:p>
    <w:p>
      <w:r>
        <w:rPr>
          <w:rFonts w:ascii="Calibri" w:hAnsi="Calibri"/>
          <w:b/>
          <w:color w:val="2B2B2B"/>
          <w:sz w:val="22"/>
        </w:rPr>
        <w:t>Partida antes de oír (§8 de la ficha):</w:t>
      </w:r>
      <w:r>
        <w:rPr>
          <w:rFonts w:ascii="Calibri" w:hAnsi="Calibri"/>
          <w:b w:val="0"/>
          <w:color w:val="2B2B2B"/>
          <w:sz w:val="22"/>
        </w:rPr>
        <w:t xml:space="preserve"> 3,6 – 4,0 (expectativa a priori de la §8).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 · FORMULARIO OFICIAL DEL JURADO — 5 criterios, escala 1–5</w:t>
      </w:r>
    </w:p>
    <w:p>
      <w:r>
        <w:rPr>
          <w:rFonts w:ascii="Calibri" w:hAnsi="Calibri"/>
          <w:b w:val="0"/>
          <w:color w:val="2B2B2B"/>
          <w:sz w:val="22"/>
        </w:rPr>
        <w:t xml:space="preserve">Instrumento </w:t>
      </w:r>
      <w:r>
        <w:rPr>
          <w:rFonts w:ascii="Calibri" w:hAnsi="Calibri"/>
          <w:b/>
          <w:color w:val="2B2B2B"/>
          <w:sz w:val="22"/>
        </w:rPr>
        <w:t>distinto</w:t>
      </w:r>
      <w:r>
        <w:rPr>
          <w:rFonts w:ascii="Calibri" w:hAnsi="Calibri"/>
          <w:b w:val="0"/>
          <w:color w:val="2B2B2B"/>
          <w:sz w:val="22"/>
        </w:rPr>
        <w:t xml:space="preserve"> de los cuatro criterios de la §D: aquellos dan la </w:t>
      </w:r>
      <w:r>
        <w:rPr>
          <w:rFonts w:ascii="Calibri" w:hAnsi="Calibri"/>
          <w:b/>
          <w:color w:val="2B2B2B"/>
          <w:sz w:val="22"/>
        </w:rPr>
        <w:t>nota del acta</w:t>
      </w:r>
      <w:r>
        <w:rPr>
          <w:rFonts w:ascii="Calibri" w:hAnsi="Calibri"/>
          <w:b w:val="0"/>
          <w:color w:val="2B2B2B"/>
          <w:sz w:val="22"/>
        </w:rPr>
        <w:t xml:space="preserve">, estos cinco van al formulario de la Dirección y </w:t>
      </w:r>
      <w:r>
        <w:rPr>
          <w:rFonts w:ascii="Calibri" w:hAnsi="Calibri"/>
          <w:b/>
          <w:color w:val="2B2B2B"/>
          <w:sz w:val="22"/>
        </w:rPr>
        <w:t>no son notas</w:t>
      </w:r>
      <w:r>
        <w:rPr>
          <w:rFonts w:ascii="Calibri" w:hAnsi="Calibri"/>
          <w:b w:val="0"/>
          <w:color w:val="2B2B2B"/>
          <w:sz w:val="22"/>
        </w:rPr>
        <w:t xml:space="preserve">. Las cinco se responden con el documento, así que vienen </w:t>
      </w:r>
      <w:r>
        <w:rPr>
          <w:rFonts w:ascii="Calibri" w:hAnsi="Calibri"/>
          <w:b/>
          <w:color w:val="2B2B2B"/>
          <w:sz w:val="22"/>
        </w:rPr>
        <w:t>precargadas</w:t>
      </w:r>
      <w:r>
        <w:rPr>
          <w:rFonts w:ascii="Calibri" w:hAnsi="Calibri"/>
          <w:b w:val="0"/>
          <w:color w:val="2B2B2B"/>
          <w:sz w:val="22"/>
        </w:rPr>
        <w:t xml:space="preserve"> desde la §8.1 de la ficha, que trae la página que sostiene cada casilla. En sala solo se confirma; si la sustentación cambia una, se tacha y se rodea otra.</w:t>
      </w:r>
    </w:p>
    <w:p>
      <w:r>
        <w:rPr>
          <w:rFonts w:ascii="Calibri" w:hAnsi="Calibri"/>
          <w:b/>
          <w:color w:val="2B2B2B"/>
          <w:sz w:val="22"/>
        </w:rPr>
        <w:t>1. Problemática y objetivos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3</w:t>
      </w:r>
    </w:p>
    <w:p>
      <w:r>
        <w:rPr>
          <w:rFonts w:ascii="Calibri" w:hAnsi="Calibri"/>
          <w:b/>
          <w:color w:val="2B2B2B"/>
          <w:sz w:val="22"/>
        </w:rPr>
        <w:t>2. Marco teórico y referentes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3. Metodología, muestra y diseño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4. Resultados y conclusiones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5. Pertinencia disciplinar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4</w:t>
      </w:r>
    </w:p>
    <w:p>
      <w:r>
        <w:rPr>
          <w:rFonts w:ascii="Calibri" w:hAnsi="Calibri"/>
          <w:b/>
          <w:color w:val="2B2B2B"/>
          <w:sz w:val="22"/>
        </w:rPr>
        <w:t>Suma:  ______ / 25</w:t>
      </w:r>
      <w:r>
        <w:rPr>
          <w:rFonts w:ascii="Calibri" w:hAnsi="Calibri"/>
          <w:b w:val="0"/>
          <w:color w:val="2B2B2B"/>
          <w:sz w:val="22"/>
        </w:rPr>
        <w:t xml:space="preserve">   ·   precargada: </w:t>
      </w:r>
      <w:r>
        <w:rPr>
          <w:rFonts w:ascii="Calibri" w:hAnsi="Calibri"/>
          <w:b/>
          <w:color w:val="2B2B2B"/>
          <w:sz w:val="22"/>
        </w:rPr>
        <w:t>13 / 25</w:t>
      </w:r>
    </w:p>
    <w:p>
      <w:r>
        <w:rPr>
          <w:rFonts w:ascii="Calibri" w:hAnsi="Calibri"/>
          <w:b/>
          <w:color w:val="2B2B2B"/>
          <w:sz w:val="22"/>
        </w:rPr>
        <w:t>Si cambio una casilla, la razón en una línea</w:t>
      </w:r>
      <w:r>
        <w:rPr>
          <w:rFonts w:ascii="Calibri" w:hAnsi="Calibri"/>
          <w:b w:val="0"/>
          <w:color w:val="2B2B2B"/>
          <w:sz w:val="22"/>
        </w:rPr>
        <w:t xml:space="preserve"> (la §8.1 trae el sustento del precargado):   ______________________________________________________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