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Especialización · AFI · cierre a satisfacción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Checklist de cierre de curso a satisfacción</w:t>
      </w:r>
    </w:p>
    <w:p>
      <w:r>
        <w:rPr>
          <w:rFonts w:ascii="Calibri" w:hAnsi="Calibri"/>
          <w:b/>
          <w:color w:val="2B2B2B"/>
          <w:sz w:val="22"/>
        </w:rPr>
        <w:t>Ámbito:</w:t>
      </w:r>
      <w:r>
        <w:rPr>
          <w:rFonts w:ascii="Calibri" w:hAnsi="Calibri"/>
          <w:b w:val="0"/>
          <w:color w:val="2B2B2B"/>
          <w:sz w:val="22"/>
        </w:rPr>
        <w:t xml:space="preserve"> Especialización · Área de Formación Investigativa (AFI) — Proyecto I (y referencia Proyecto II)</w:t>
      </w:r>
    </w:p>
    <w:p>
      <w:r>
        <w:rPr>
          <w:rFonts w:ascii="Calibri" w:hAnsi="Calibri"/>
          <w:b/>
          <w:color w:val="2B2B2B"/>
          <w:sz w:val="22"/>
        </w:rPr>
        <w:t>Orientado a:</w:t>
      </w:r>
      <w:r>
        <w:rPr>
          <w:rFonts w:ascii="Calibri" w:hAnsi="Calibri"/>
          <w:b w:val="0"/>
          <w:color w:val="2B2B2B"/>
          <w:sz w:val="22"/>
        </w:rPr>
        <w:t xml:space="preserve"> estudiantes y directivos / Coordinación (también útil al Docente)</w:t>
      </w:r>
    </w:p>
    <w:p>
      <w:r>
        <w:rPr>
          <w:rFonts w:ascii="Calibri" w:hAnsi="Calibri"/>
          <w:b/>
          <w:color w:val="2B2B2B"/>
          <w:sz w:val="22"/>
        </w:rPr>
        <w:t>Plataforma oficial de notas y entregas:</w:t>
      </w:r>
      <w:r>
        <w:rPr>
          <w:rFonts w:ascii="Calibri" w:hAnsi="Calibri"/>
          <w:b w:val="0"/>
          <w:color w:val="2B2B2B"/>
          <w:sz w:val="22"/>
        </w:rPr>
        <w:t xml:space="preserve"> CDigital</w:t>
      </w:r>
    </w:p>
    <w:p>
      <w:r>
        <w:rPr>
          <w:rFonts w:ascii="Calibri" w:hAnsi="Calibri"/>
          <w:b/>
          <w:color w:val="2B2B2B"/>
          <w:sz w:val="22"/>
        </w:rPr>
        <w:t>Marca / institución:</w:t>
      </w:r>
      <w:r>
        <w:rPr>
          <w:rFonts w:ascii="Calibri" w:hAnsi="Calibri"/>
          <w:b w:val="0"/>
          <w:color w:val="2B2B2B"/>
          <w:sz w:val="22"/>
        </w:rPr>
        <w:t xml:space="preserve"> Corporación Unificada Nacional de Educación Superior — CUN</w:t>
      </w:r>
    </w:p>
    <w:p>
      <w:r>
        <w:rPr>
          <w:rFonts w:ascii="Calibri" w:hAnsi="Calibri"/>
          <w:b/>
          <w:color w:val="2B2B2B"/>
          <w:sz w:val="22"/>
        </w:rPr>
        <w:t>Fuentes:</w:t>
      </w:r>
      <w:r>
        <w:rPr>
          <w:rFonts w:ascii="Calibri" w:hAnsi="Calibri"/>
          <w:b w:val="0"/>
          <w:color w:val="2B2B2B"/>
          <w:sz w:val="22"/>
        </w:rPr>
        <w:t xml:space="preserve"> ESP329 · Instructivos AFI · Cronograma Proyecto I/II · Reglamento Estudiantil (Art. 41 nota única) · </w:t>
      </w:r>
      <w:r>
        <w:rPr>
          <w:rFonts w:ascii="Consolas" w:hAnsi="Consolas"/>
          <w:color w:val="111111"/>
          <w:sz w:val="21"/>
        </w:rPr>
        <w:t>config/universidades/cun.json</w:t>
      </w:r>
      <w:r>
        <w:rPr>
          <w:rFonts w:ascii="Calibri" w:hAnsi="Calibri"/>
          <w:b w:val="0"/>
          <w:color w:val="2B2B2B"/>
          <w:sz w:val="22"/>
        </w:rPr>
        <w:t xml:space="preserve"> (links AFI)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Ítems </w:t>
      </w:r>
      <w:r>
        <w:rPr>
          <w:rFonts w:ascii="Calibri" w:hAnsi="Calibri"/>
          <w:b/>
          <w:i/>
          <w:color w:val="2B2B2B"/>
          <w:sz w:val="21"/>
        </w:rPr>
        <w:t>verificables</w:t>
      </w:r>
      <w:r>
        <w:rPr>
          <w:rFonts w:ascii="Calibri" w:hAnsi="Calibri"/>
          <w:b w:val="0"/>
          <w:i/>
          <w:color w:val="2B2B2B"/>
          <w:sz w:val="21"/>
        </w:rPr>
        <w:t xml:space="preserve">. Marca cada casilla cuando haya evidencia en CDigital, formularios institucionales o actas. Distingue lo que aplica a </w:t>
      </w:r>
      <w:r>
        <w:rPr>
          <w:rFonts w:ascii="Calibri" w:hAnsi="Calibri"/>
          <w:b/>
          <w:i/>
          <w:color w:val="2B2B2B"/>
          <w:sz w:val="21"/>
        </w:rPr>
        <w:t>Proyecto I</w:t>
      </w:r>
      <w:r>
        <w:rPr>
          <w:rFonts w:ascii="Calibri" w:hAnsi="Calibri"/>
          <w:b w:val="0"/>
          <w:i/>
          <w:color w:val="2B2B2B"/>
          <w:sz w:val="21"/>
        </w:rPr>
        <w:t xml:space="preserve"> (auto/coevaluación) de lo que aplica a </w:t>
      </w:r>
      <w:r>
        <w:rPr>
          <w:rFonts w:ascii="Calibri" w:hAnsi="Calibri"/>
          <w:b/>
          <w:i/>
          <w:color w:val="2B2B2B"/>
          <w:sz w:val="21"/>
        </w:rPr>
        <w:t>Proyecto II</w:t>
      </w:r>
      <w:r>
        <w:rPr>
          <w:rFonts w:ascii="Calibri" w:hAnsi="Calibri"/>
          <w:b w:val="0"/>
          <w:i/>
          <w:color w:val="2B2B2B"/>
          <w:sz w:val="21"/>
        </w:rPr>
        <w:t xml:space="preserve"> (sin auto/coeval).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Alcance del cierre (estudiantes y directivos)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El curso correspondiente (Proyecto I o II) está identificado con periodo, grupo y Docente en CDigital.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Estudiantes y Coordinación conocen la </w:t>
      </w:r>
      <w:r>
        <w:rPr>
          <w:rFonts w:ascii="Calibri" w:hAnsi="Calibri"/>
          <w:b/>
          <w:color w:val="2B2B2B"/>
          <w:sz w:val="22"/>
        </w:rPr>
        <w:t>fecha de recepción</w:t>
      </w:r>
      <w:r>
        <w:rPr>
          <w:rFonts w:ascii="Calibri" w:hAnsi="Calibri"/>
          <w:b w:val="0"/>
          <w:color w:val="2B2B2B"/>
          <w:sz w:val="22"/>
        </w:rPr>
        <w:t xml:space="preserve"> (máx. trabajos) y la </w:t>
      </w:r>
      <w:r>
        <w:rPr>
          <w:rFonts w:ascii="Calibri" w:hAnsi="Calibri"/>
          <w:b/>
          <w:color w:val="2B2B2B"/>
          <w:sz w:val="22"/>
        </w:rPr>
        <w:t>fecha de cierre de notas</w:t>
      </w:r>
      <w:r>
        <w:rPr>
          <w:rFonts w:ascii="Calibri" w:hAnsi="Calibri"/>
          <w:b w:val="0"/>
          <w:color w:val="2B2B2B"/>
          <w:sz w:val="22"/>
        </w:rPr>
        <w:t xml:space="preserve"> de la oferta.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Queda claro el régimen: </w:t>
      </w:r>
      <w:r>
        <w:rPr>
          <w:rFonts w:ascii="Calibri" w:hAnsi="Calibri"/>
          <w:b/>
          <w:color w:val="2B2B2B"/>
          <w:sz w:val="22"/>
        </w:rPr>
        <w:t>nota única 100%</w:t>
      </w:r>
      <w:r>
        <w:rPr>
          <w:rFonts w:ascii="Calibri" w:hAnsi="Calibri"/>
          <w:b w:val="0"/>
          <w:color w:val="2B2B2B"/>
          <w:sz w:val="22"/>
        </w:rPr>
        <w:t xml:space="preserve"> (Art. 41) — no cortes Art. 52 de pregrado.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Entregas ACA y productos (Proyecto I)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</w:t>
      </w:r>
      <w:r>
        <w:rPr>
          <w:rFonts w:ascii="Calibri" w:hAnsi="Calibri"/>
          <w:b/>
          <w:color w:val="2B2B2B"/>
          <w:sz w:val="22"/>
        </w:rPr>
        <w:t>ACA 1, ACA 2 y ACA 3</w:t>
      </w:r>
      <w:r>
        <w:rPr>
          <w:rFonts w:ascii="Calibri" w:hAnsi="Calibri"/>
          <w:b w:val="0"/>
          <w:color w:val="2B2B2B"/>
          <w:sz w:val="22"/>
        </w:rPr>
        <w:t xml:space="preserve"> entregadas por equipos (máx. 3) en CDigital, con plantilla APA CUN.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Cada ACA tiene calificación y retroalimentación cualitativa/cuantitativa registrada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límite de nota docente.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ACA 3 = anteproyecto consolidado (metodología </w:t>
      </w:r>
      <w:r>
        <w:rPr>
          <w:rFonts w:ascii="Calibri" w:hAnsi="Calibri"/>
          <w:b/>
          <w:color w:val="2B2B2B"/>
          <w:sz w:val="22"/>
        </w:rPr>
        <w:t>propuesta</w:t>
      </w:r>
      <w:r>
        <w:rPr>
          <w:rFonts w:ascii="Calibri" w:hAnsi="Calibri"/>
          <w:b w:val="0"/>
          <w:color w:val="2B2B2B"/>
          <w:sz w:val="22"/>
        </w:rPr>
        <w:t>, sin trabajo de campo aplicado).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Enunciados disponibles en </w:t>
      </w:r>
      <w:r>
        <w:rPr>
          <w:rFonts w:ascii="Consolas" w:hAnsi="Consolas"/>
          <w:color w:val="111111"/>
          <w:sz w:val="21"/>
        </w:rPr>
        <w:t>Clases/Recursos/ACAs/</w:t>
      </w:r>
      <w:r>
        <w:rPr>
          <w:rFonts w:ascii="Calibri" w:hAnsi="Calibri"/>
          <w:b w:val="0"/>
          <w:color w:val="2B2B2B"/>
          <w:sz w:val="22"/>
        </w:rPr>
        <w:t xml:space="preserve"> (incluida autoevaluación y coevaluación).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Autoevaluación y coevaluación (solo Proyecto I)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</w:t>
      </w:r>
      <w:r>
        <w:rPr>
          <w:rFonts w:ascii="Calibri" w:hAnsi="Calibri"/>
          <w:b/>
          <w:color w:val="2B2B2B"/>
          <w:sz w:val="22"/>
        </w:rPr>
        <w:t>Coevaluación (4%)</w:t>
      </w:r>
      <w:r>
        <w:rPr>
          <w:rFonts w:ascii="Calibri" w:hAnsi="Calibri"/>
          <w:b w:val="0"/>
          <w:color w:val="2B2B2B"/>
          <w:sz w:val="22"/>
        </w:rPr>
        <w:t xml:space="preserve"> habilitada y diligenciada en su ventana (periodo 26ES4 calculado: </w:t>
      </w:r>
      <w:r>
        <w:rPr>
          <w:rFonts w:ascii="Calibri" w:hAnsi="Calibri"/>
          <w:b/>
          <w:color w:val="2B2B2B"/>
          <w:sz w:val="22"/>
        </w:rPr>
        <w:t>10–16/11/2026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</w:t>
      </w:r>
      <w:r>
        <w:rPr>
          <w:rFonts w:ascii="Calibri" w:hAnsi="Calibri"/>
          <w:b/>
          <w:color w:val="2B2B2B"/>
          <w:sz w:val="22"/>
        </w:rPr>
        <w:t>Autoevaluación (4%)</w:t>
      </w:r>
      <w:r>
        <w:rPr>
          <w:rFonts w:ascii="Calibri" w:hAnsi="Calibri"/>
          <w:b w:val="0"/>
          <w:color w:val="2B2B2B"/>
          <w:sz w:val="22"/>
        </w:rPr>
        <w:t xml:space="preserve"> habilitada y diligenciada en su ventana (</w:t>
      </w:r>
      <w:r>
        <w:rPr>
          <w:rFonts w:ascii="Calibri" w:hAnsi="Calibri"/>
          <w:b/>
          <w:color w:val="2B2B2B"/>
          <w:sz w:val="22"/>
        </w:rPr>
        <w:t>17–22/11/2026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Notas de auto/coevaluación registradas en el gradebook de CDigital.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Estudiantes informados de que auto/coeval </w:t>
      </w:r>
      <w:r>
        <w:rPr>
          <w:rFonts w:ascii="Calibri" w:hAnsi="Calibri"/>
          <w:b/>
          <w:color w:val="2B2B2B"/>
          <w:sz w:val="22"/>
        </w:rPr>
        <w:t>no sustituyen</w:t>
      </w:r>
      <w:r>
        <w:rPr>
          <w:rFonts w:ascii="Calibri" w:hAnsi="Calibri"/>
          <w:b w:val="0"/>
          <w:color w:val="2B2B2B"/>
          <w:sz w:val="22"/>
        </w:rPr>
        <w:t xml:space="preserve"> ACA 3 y </w:t>
      </w:r>
      <w:r>
        <w:rPr>
          <w:rFonts w:ascii="Calibri" w:hAnsi="Calibri"/>
          <w:b/>
          <w:color w:val="2B2B2B"/>
          <w:sz w:val="22"/>
        </w:rPr>
        <w:t>no aplican en Proyecto II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Proyecto II: verificar régimen </w:t>
      </w:r>
      <w:r>
        <w:rPr>
          <w:rFonts w:ascii="Calibri" w:hAnsi="Calibri"/>
          <w:b/>
          <w:i/>
          <w:color w:val="2B2B2B"/>
          <w:sz w:val="21"/>
        </w:rPr>
        <w:t>75% metodólogo + 25% jurados</w:t>
      </w:r>
      <w:r>
        <w:rPr>
          <w:rFonts w:ascii="Calibri" w:hAnsi="Calibri"/>
          <w:b w:val="0"/>
          <w:i/>
          <w:color w:val="2B2B2B"/>
          <w:sz w:val="21"/>
        </w:rPr>
        <w:t xml:space="preserve"> (desde 26ES4) y ausencia de auto/coevaluación.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Tutorías, asistencia y Meet (AFI)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Serie de encuentros en Google Meet con </w:t>
      </w:r>
      <w:r>
        <w:rPr>
          <w:rFonts w:ascii="Calibri" w:hAnsi="Calibri"/>
          <w:b/>
          <w:color w:val="2B2B2B"/>
          <w:sz w:val="22"/>
        </w:rPr>
        <w:t>grabación</w:t>
      </w:r>
      <w:r>
        <w:rPr>
          <w:rFonts w:ascii="Calibri" w:hAnsi="Calibri"/>
          <w:b w:val="0"/>
          <w:color w:val="2B2B2B"/>
          <w:sz w:val="22"/>
        </w:rPr>
        <w:t xml:space="preserve"> y coanfitrión </w:t>
      </w:r>
      <w:r>
        <w:rPr>
          <w:rFonts w:ascii="Consolas" w:hAnsi="Consolas"/>
          <w:color w:val="111111"/>
          <w:sz w:val="21"/>
        </w:rPr>
        <w:t>investigacion_especializaciones@cun.edu.co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Estudiantes diligenciaron el formulario de </w:t>
      </w:r>
      <w:r>
        <w:rPr>
          <w:rFonts w:ascii="Calibri" w:hAnsi="Calibri"/>
          <w:b/>
          <w:color w:val="2B2B2B"/>
          <w:sz w:val="22"/>
        </w:rPr>
        <w:t>asistencia a tutorías</w:t>
      </w:r>
      <w:r>
        <w:rPr>
          <w:rFonts w:ascii="Calibri" w:hAnsi="Calibri"/>
          <w:b w:val="0"/>
          <w:color w:val="2B2B2B"/>
          <w:sz w:val="22"/>
        </w:rPr>
        <w:t xml:space="preserve"> (link vigente en </w:t>
      </w:r>
      <w:r>
        <w:rPr>
          <w:rFonts w:ascii="Consolas" w:hAnsi="Consolas"/>
          <w:color w:val="111111"/>
          <w:sz w:val="21"/>
        </w:rPr>
        <w:t>links_afi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Docente registró sesiones/tutorías en el formulario docente (</w:t>
      </w:r>
      <w:r>
        <w:rPr>
          <w:rFonts w:ascii="Calibri" w:hAnsi="Calibri"/>
          <w:b/>
          <w:color w:val="2B2B2B"/>
          <w:sz w:val="22"/>
        </w:rPr>
        <w:t>dentro de 24 h</w:t>
      </w:r>
      <w:r>
        <w:rPr>
          <w:rFonts w:ascii="Calibri" w:hAnsi="Calibri"/>
          <w:b w:val="0"/>
          <w:color w:val="2B2B2B"/>
          <w:sz w:val="22"/>
        </w:rPr>
        <w:t>, con link de grabación).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Evidencia de participación disponible para auditoría académica.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CDigital y cierre administrativo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Todas las calificaciones publicadas / registradas a más tardar en la </w:t>
      </w:r>
      <w:r>
        <w:rPr>
          <w:rFonts w:ascii="Calibri" w:hAnsi="Calibri"/>
          <w:b/>
          <w:color w:val="2B2B2B"/>
          <w:sz w:val="22"/>
        </w:rPr>
        <w:t>fecha de cierre</w:t>
      </w:r>
      <w:r>
        <w:rPr>
          <w:rFonts w:ascii="Calibri" w:hAnsi="Calibri"/>
          <w:b w:val="0"/>
          <w:color w:val="2B2B2B"/>
          <w:sz w:val="22"/>
        </w:rPr>
        <w:t xml:space="preserve"> del periodo (P1 26ES4: </w:t>
      </w:r>
      <w:r>
        <w:rPr>
          <w:rFonts w:ascii="Calibri" w:hAnsi="Calibri"/>
          <w:b/>
          <w:color w:val="2B2B2B"/>
          <w:sz w:val="22"/>
        </w:rPr>
        <w:t>22/11/2026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No quedan entregas sin nota ni equipos sin aval metodológico documentado (vía ACA 3 en Proyecto I).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Evidencias del aula (entregas, calificaciones, foros) </w:t>
      </w:r>
      <w:r>
        <w:rPr>
          <w:rFonts w:ascii="Calibri" w:hAnsi="Calibri"/>
          <w:b/>
          <w:color w:val="2B2B2B"/>
          <w:sz w:val="22"/>
        </w:rPr>
        <w:t>descargadas/respaldadas</w:t>
      </w:r>
      <w:r>
        <w:rPr>
          <w:rFonts w:ascii="Calibri" w:hAnsi="Calibri"/>
          <w:b w:val="0"/>
          <w:color w:val="2B2B2B"/>
          <w:sz w:val="22"/>
        </w:rPr>
        <w:t xml:space="preserve"> antes del cierre del campus (sin reingreso garantizado).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</w:t>
      </w:r>
      <w:r>
        <w:rPr>
          <w:rFonts w:ascii="Calibri" w:hAnsi="Calibri"/>
          <w:b/>
          <w:color w:val="2B2B2B"/>
          <w:sz w:val="22"/>
        </w:rPr>
        <w:t>Informe de cierre</w:t>
      </w:r>
      <w:r>
        <w:rPr>
          <w:rFonts w:ascii="Calibri" w:hAnsi="Calibri"/>
          <w:b w:val="0"/>
          <w:color w:val="2B2B2B"/>
          <w:sz w:val="22"/>
        </w:rPr>
        <w:t xml:space="preserve"> AFI diligenciado (formulario distinto del Acuerdo Pedagógico; plazo orientativo: 3 días hábiles tras el cierre).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Acuerdo Pedagógico de inicio quedó trazado al comienzo del periodo (no confundir con informe de cierre).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Comunicación a estudiantes y satisfacción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Estudiantes conocen cómo consultar su nota definitiva en CDigital.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Canal de contacto del Docente publicado (correo institucional del curso).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Encuesta / instrumento de satisfacción institucional (si Coordinación lo exige en el periodo) diligenciado o recordado.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[ ] Dudas de revisión de nota: ventana y procedimiento comunicados según normativa vigente.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Verificación rápida para directivos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Verificable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Evidencia esperada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Nota única desglosada (P1)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Gradebook: ACA1 25% · ACA2 25% · ACA3 42% · coev. 4% · autoev. 4%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Ventanas auto/coeval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Actividades individuales en CDigital con fechas de apertura/cierre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Tutorías AFI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Forms estudiante + docente + grabaciones Meet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Cierre formal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Notas al cierre + informe de cierre AFI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Sin auto/coeval en P-II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Syllabus/instructivo vigente del periodo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Fuentes citadas (rutas / URLs)</w:t>
      </w:r>
    </w:p>
    <w:p>
      <w:pPr>
        <w:pStyle w:val="ListBullet"/>
      </w:pPr>
      <w:r>
        <w:rPr>
          <w:rFonts w:ascii="Consolas" w:hAnsi="Consolas"/>
          <w:color w:val="111111"/>
          <w:sz w:val="21"/>
        </w:rPr>
        <w:t>Especializacion/Proyecto I/Especializacion_En_Inteligencia_Artificial_Proyecto_I_ESP329.docx</w:t>
      </w:r>
    </w:p>
    <w:p>
      <w:pPr>
        <w:pStyle w:val="ListBullet"/>
      </w:pPr>
      <w:r>
        <w:rPr>
          <w:rFonts w:ascii="Consolas" w:hAnsi="Consolas"/>
          <w:color w:val="111111"/>
          <w:sz w:val="21"/>
        </w:rPr>
        <w:t>Especializacion/0. General/01_Instructivos_AFI_Proyecto_I_II/</w:t>
      </w:r>
    </w:p>
    <w:p>
      <w:pPr>
        <w:pStyle w:val="ListBullet"/>
      </w:pPr>
      <w:r>
        <w:rPr>
          <w:rFonts w:ascii="Consolas" w:hAnsi="Consolas"/>
          <w:color w:val="111111"/>
          <w:sz w:val="21"/>
        </w:rPr>
        <w:t>Especializacion/0. General/LEEME - Inicio desarrollo y cierre de cursos.md</w:t>
      </w:r>
    </w:p>
    <w:p>
      <w:pPr>
        <w:pStyle w:val="ListBullet"/>
      </w:pPr>
      <w:r>
        <w:rPr>
          <w:rFonts w:ascii="Consolas" w:hAnsi="Consolas"/>
          <w:color w:val="111111"/>
          <w:sz w:val="21"/>
        </w:rPr>
        <w:t>Especializacion/Proyecto I/Manual del Docente - PROYECTO I.md</w:t>
      </w:r>
    </w:p>
    <w:p>
      <w:pPr>
        <w:pStyle w:val="ListBullet"/>
      </w:pPr>
      <w:r>
        <w:rPr>
          <w:rFonts w:ascii="Consolas" w:hAnsi="Consolas"/>
          <w:color w:val="111111"/>
          <w:sz w:val="21"/>
        </w:rPr>
        <w:t>config/universidades/cun.json</w:t>
      </w:r>
      <w:r>
        <w:rPr>
          <w:rFonts w:ascii="Calibri" w:hAnsi="Calibri"/>
          <w:b w:val="0"/>
          <w:color w:val="2B2B2B"/>
          <w:sz w:val="22"/>
        </w:rPr>
        <w:t xml:space="preserve"> → </w:t>
      </w:r>
      <w:r>
        <w:rPr>
          <w:rFonts w:ascii="Consolas" w:hAnsi="Consolas"/>
          <w:color w:val="111111"/>
          <w:sz w:val="21"/>
        </w:rPr>
        <w:t>links_afi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onsolas" w:hAnsi="Consolas"/>
          <w:color w:val="111111"/>
          <w:sz w:val="21"/>
        </w:rPr>
        <w:t>evaluacion.regimen_nota_unica_afi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Normatividad CUN: https://cun.edu.co/somos-la-cun/normatividad/ (Reglamento Estudiantil)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SIAC / autoevaluación institucional (no es nota de curso): https://acreditacion.cun.edu.co/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Checklist de cierre · estudiantes y directivos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