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(evaluación Art. 41: ACA1 25% · ACA2 25% · ACA3 42% · autoevaluación 4% · coevaluación 4%) · Manual del Docente / AFI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31 de agosto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31/08/2026.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Formulación del problema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>Delimitar una situación problemática pertinente al campo de la especialización y convertirla en un avance coherente del anteproyecto: problema, pregunta, objetivos, justificación, alcances y limitaciones (unidades ESP329 U1–U3).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Incluye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(mínimo las usadas en este avance).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coherencia: contexto ↔ problema ↔ pregunta ↔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abierto preferente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6–10 páginas</w:t>
      </w:r>
      <w:r>
        <w:rPr>
          <w:rFonts w:ascii="Calibri" w:hAnsi="Calibri"/>
          <w:b w:val="0"/>
          <w:color w:val="2B2B2B"/>
          <w:sz w:val="22"/>
        </w:rPr>
        <w:t xml:space="preserve"> de cuerpo (sin contar portada/referencias), suficiente para U2–U3.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entre problema, pregunta y objetivos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Pertinencia del problema al campo / líneas del programa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Justificación argumentada (no solo opinión)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Alcances y limitaciones realistas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Escritura académica e integridad (citas, sin 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Referencias APA 7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tras </w:t>
      </w:r>
      <w:r>
        <w:rPr>
          <w:rFonts w:ascii="Calibri" w:hAnsi="Calibri"/>
          <w:b/>
          <w:color w:val="2B2B2B"/>
          <w:sz w:val="22"/>
        </w:rPr>
        <w:t>Sesiones 01–03</w:t>
      </w:r>
      <w:r>
        <w:rPr>
          <w:rFonts w:ascii="Calibri" w:hAnsi="Calibri"/>
          <w:b w:val="0"/>
          <w:color w:val="2B2B2B"/>
          <w:sz w:val="22"/>
        </w:rPr>
        <w:t xml:space="preserve"> (fundamentos → problema/pregunta → objetivos/justificación/alcances). Cierre de avance ACA 1 según ventana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